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7C9" w:rsidRDefault="00EF67C9" w:rsidP="0025710B">
      <w:pPr>
        <w:spacing w:before="120" w:after="120"/>
        <w:jc w:val="center"/>
        <w:rPr>
          <w:b/>
          <w:smallCaps/>
          <w:sz w:val="28"/>
          <w:szCs w:val="28"/>
        </w:rPr>
      </w:pPr>
      <w:r w:rsidRPr="00EF67C9">
        <w:rPr>
          <w:b/>
          <w:smallCaps/>
          <w:noProof/>
          <w:sz w:val="28"/>
          <w:szCs w:val="28"/>
          <w:lang w:eastAsia="it-IT"/>
        </w:rPr>
        <w:drawing>
          <wp:anchor distT="57150" distB="57150" distL="57150" distR="57150" simplePos="0" relativeHeight="251659264" behindDoc="0" locked="0" layoutInCell="1" allowOverlap="1">
            <wp:simplePos x="0" y="0"/>
            <wp:positionH relativeFrom="column">
              <wp:posOffset>2326640</wp:posOffset>
            </wp:positionH>
            <wp:positionV relativeFrom="line">
              <wp:posOffset>-427990</wp:posOffset>
            </wp:positionV>
            <wp:extent cx="1186815" cy="654050"/>
            <wp:effectExtent l="19050" t="0" r="0" b="0"/>
            <wp:wrapSquare wrapText="bothSides"/>
            <wp:docPr id="1" name="Immagine 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815" cy="654050"/>
                    </a:xfrm>
                    <a:prstGeom prst="rect">
                      <a:avLst/>
                    </a:prstGeom>
                    <a:noFill/>
                    <a:ln w="12700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10B" w:rsidRPr="00476B48" w:rsidRDefault="0025710B" w:rsidP="0025710B">
      <w:pPr>
        <w:spacing w:before="120" w:after="120"/>
        <w:jc w:val="center"/>
        <w:rPr>
          <w:b/>
          <w:smallCaps/>
          <w:color w:val="548DD4" w:themeColor="text2" w:themeTint="99"/>
          <w:sz w:val="30"/>
          <w:szCs w:val="30"/>
        </w:rPr>
      </w:pPr>
    </w:p>
    <w:p w:rsidR="006841DF" w:rsidRPr="002538D9" w:rsidRDefault="00476B48" w:rsidP="0025710B">
      <w:pPr>
        <w:spacing w:before="120" w:after="120"/>
        <w:jc w:val="center"/>
        <w:rPr>
          <w:b/>
          <w:caps/>
          <w:sz w:val="24"/>
          <w:szCs w:val="24"/>
        </w:rPr>
      </w:pPr>
      <w:r w:rsidRPr="002538D9">
        <w:rPr>
          <w:b/>
          <w:caps/>
          <w:color w:val="548DD4" w:themeColor="text2" w:themeTint="99"/>
          <w:sz w:val="24"/>
          <w:szCs w:val="24"/>
        </w:rPr>
        <w:t xml:space="preserve">PROPOSTA </w:t>
      </w:r>
      <w:proofErr w:type="spellStart"/>
      <w:r w:rsidRPr="002538D9">
        <w:rPr>
          <w:b/>
          <w:caps/>
          <w:color w:val="548DD4" w:themeColor="text2" w:themeTint="99"/>
          <w:sz w:val="24"/>
          <w:szCs w:val="24"/>
        </w:rPr>
        <w:t>DI</w:t>
      </w:r>
      <w:proofErr w:type="spellEnd"/>
      <w:r w:rsidRPr="002538D9">
        <w:rPr>
          <w:b/>
          <w:caps/>
          <w:color w:val="548DD4" w:themeColor="text2" w:themeTint="99"/>
          <w:sz w:val="24"/>
          <w:szCs w:val="24"/>
        </w:rPr>
        <w:t xml:space="preserve"> DIRETTIVA SU</w:t>
      </w:r>
      <w:r w:rsidR="004E29B0">
        <w:rPr>
          <w:b/>
          <w:caps/>
          <w:color w:val="548DD4" w:themeColor="text2" w:themeTint="99"/>
          <w:sz w:val="24"/>
          <w:szCs w:val="24"/>
        </w:rPr>
        <w:t>LLA FATTURAZIONE ELETTRONICA NE</w:t>
      </w:r>
      <w:r w:rsidRPr="002538D9">
        <w:rPr>
          <w:b/>
          <w:caps/>
          <w:color w:val="548DD4" w:themeColor="text2" w:themeTint="99"/>
          <w:sz w:val="24"/>
          <w:szCs w:val="24"/>
        </w:rPr>
        <w:t xml:space="preserve">I </w:t>
      </w:r>
      <w:r w:rsidR="004E29B0">
        <w:rPr>
          <w:b/>
          <w:caps/>
          <w:color w:val="548DD4" w:themeColor="text2" w:themeTint="99"/>
          <w:sz w:val="24"/>
          <w:szCs w:val="24"/>
        </w:rPr>
        <w:t xml:space="preserve">contratti </w:t>
      </w:r>
      <w:r w:rsidRPr="002538D9">
        <w:rPr>
          <w:b/>
          <w:caps/>
          <w:color w:val="548DD4" w:themeColor="text2" w:themeTint="99"/>
          <w:sz w:val="24"/>
          <w:szCs w:val="24"/>
        </w:rPr>
        <w:t>PUBBLICI</w:t>
      </w:r>
    </w:p>
    <w:p w:rsidR="0025710B" w:rsidRPr="002538D9" w:rsidRDefault="00E52B47" w:rsidP="0025710B">
      <w:pPr>
        <w:spacing w:before="120" w:after="120"/>
        <w:jc w:val="center"/>
        <w:rPr>
          <w:b/>
          <w:caps/>
          <w:color w:val="548DD4" w:themeColor="text2" w:themeTint="99"/>
          <w:sz w:val="24"/>
          <w:szCs w:val="24"/>
        </w:rPr>
      </w:pPr>
      <w:r>
        <w:rPr>
          <w:b/>
          <w:caps/>
          <w:color w:val="548DD4" w:themeColor="text2" w:themeTint="99"/>
          <w:sz w:val="24"/>
          <w:szCs w:val="24"/>
        </w:rPr>
        <w:t xml:space="preserve">stato dei lavori e </w:t>
      </w:r>
      <w:r w:rsidR="00476B48" w:rsidRPr="002538D9">
        <w:rPr>
          <w:b/>
          <w:caps/>
          <w:color w:val="548DD4" w:themeColor="text2" w:themeTint="99"/>
          <w:sz w:val="24"/>
          <w:szCs w:val="24"/>
        </w:rPr>
        <w:t>PRIME OSSERVAZIONI</w:t>
      </w:r>
    </w:p>
    <w:p w:rsidR="00476B48" w:rsidRPr="0025710B" w:rsidRDefault="00476B48" w:rsidP="0025710B">
      <w:pPr>
        <w:spacing w:before="120" w:after="120"/>
        <w:jc w:val="center"/>
        <w:rPr>
          <w:b/>
          <w:smallCaps/>
          <w:sz w:val="24"/>
          <w:szCs w:val="24"/>
        </w:rPr>
      </w:pPr>
    </w:p>
    <w:p w:rsidR="006841DF" w:rsidRPr="0025710B" w:rsidRDefault="006841DF" w:rsidP="00492EDE">
      <w:pPr>
        <w:spacing w:before="120" w:after="120"/>
        <w:jc w:val="both"/>
        <w:rPr>
          <w:sz w:val="24"/>
          <w:szCs w:val="24"/>
        </w:rPr>
      </w:pPr>
      <w:r w:rsidRPr="0025710B">
        <w:rPr>
          <w:sz w:val="24"/>
          <w:szCs w:val="24"/>
        </w:rPr>
        <w:t>Il 26 giugno 2013</w:t>
      </w:r>
      <w:r w:rsidR="00FF1B67" w:rsidRPr="0025710B">
        <w:rPr>
          <w:sz w:val="24"/>
          <w:szCs w:val="24"/>
        </w:rPr>
        <w:t>,</w:t>
      </w:r>
      <w:r w:rsidRPr="0025710B">
        <w:rPr>
          <w:sz w:val="24"/>
          <w:szCs w:val="24"/>
        </w:rPr>
        <w:t xml:space="preserve"> la Commissione europea ha presentato una proposta di direttiva relativa alla fatturazione elettronica (</w:t>
      </w:r>
      <w:proofErr w:type="spellStart"/>
      <w:r w:rsidRPr="0025710B">
        <w:rPr>
          <w:i/>
          <w:sz w:val="24"/>
          <w:szCs w:val="24"/>
        </w:rPr>
        <w:t>e-invoic</w:t>
      </w:r>
      <w:r w:rsidR="007D2BDC" w:rsidRPr="0025710B">
        <w:rPr>
          <w:i/>
          <w:sz w:val="24"/>
          <w:szCs w:val="24"/>
        </w:rPr>
        <w:t>e</w:t>
      </w:r>
      <w:proofErr w:type="spellEnd"/>
      <w:r w:rsidRPr="0025710B">
        <w:rPr>
          <w:sz w:val="24"/>
          <w:szCs w:val="24"/>
        </w:rPr>
        <w:t xml:space="preserve">) </w:t>
      </w:r>
      <w:r w:rsidR="004E29B0">
        <w:rPr>
          <w:sz w:val="24"/>
          <w:szCs w:val="24"/>
        </w:rPr>
        <w:t xml:space="preserve">nei contratti </w:t>
      </w:r>
      <w:r w:rsidRPr="0025710B">
        <w:rPr>
          <w:sz w:val="24"/>
          <w:szCs w:val="24"/>
        </w:rPr>
        <w:t>pubblici, quale ulteriore passo della strategia di modernizzazione, integrazione e digitalizzazione del mercato europeo dei contratti pubblici avviata con la riforma del</w:t>
      </w:r>
      <w:r w:rsidR="004E29B0">
        <w:rPr>
          <w:sz w:val="24"/>
          <w:szCs w:val="24"/>
        </w:rPr>
        <w:t>le</w:t>
      </w:r>
      <w:r w:rsidRPr="0025710B">
        <w:rPr>
          <w:sz w:val="24"/>
          <w:szCs w:val="24"/>
        </w:rPr>
        <w:t xml:space="preserve"> direttive europee sugli appalti pubblici e l'adozione di una nuova direttiva sulle concessioni.</w:t>
      </w:r>
    </w:p>
    <w:p w:rsidR="00C712BA" w:rsidRDefault="00C712BA" w:rsidP="00492EDE">
      <w:pPr>
        <w:spacing w:before="120" w:after="120"/>
        <w:jc w:val="both"/>
        <w:rPr>
          <w:b/>
          <w:smallCaps/>
          <w:color w:val="548DD4" w:themeColor="text2" w:themeTint="99"/>
          <w:sz w:val="24"/>
          <w:szCs w:val="28"/>
        </w:rPr>
      </w:pPr>
    </w:p>
    <w:p w:rsidR="00D809EF" w:rsidRPr="002538D9" w:rsidRDefault="000C0E5B" w:rsidP="00492EDE">
      <w:pPr>
        <w:spacing w:before="120" w:after="120"/>
        <w:jc w:val="both"/>
        <w:rPr>
          <w:b/>
          <w:smallCaps/>
          <w:color w:val="548DD4" w:themeColor="text2" w:themeTint="99"/>
          <w:sz w:val="24"/>
          <w:szCs w:val="28"/>
        </w:rPr>
      </w:pPr>
      <w:r w:rsidRPr="002538D9">
        <w:rPr>
          <w:b/>
          <w:smallCaps/>
          <w:color w:val="548DD4" w:themeColor="text2" w:themeTint="99"/>
          <w:sz w:val="24"/>
          <w:szCs w:val="28"/>
        </w:rPr>
        <w:t xml:space="preserve">1. </w:t>
      </w:r>
      <w:r w:rsidR="00D809EF" w:rsidRPr="002538D9">
        <w:rPr>
          <w:b/>
          <w:smallCaps/>
          <w:color w:val="548DD4" w:themeColor="text2" w:themeTint="99"/>
          <w:sz w:val="24"/>
          <w:szCs w:val="28"/>
        </w:rPr>
        <w:t>Stato della discussione</w:t>
      </w:r>
    </w:p>
    <w:p w:rsidR="006841DF" w:rsidRPr="0025710B" w:rsidRDefault="00334CAC" w:rsidP="00492EDE">
      <w:pPr>
        <w:pStyle w:val="Paragrafoelenco"/>
        <w:numPr>
          <w:ilvl w:val="0"/>
          <w:numId w:val="3"/>
        </w:numPr>
        <w:spacing w:before="120" w:after="120"/>
        <w:contextualSpacing w:val="0"/>
        <w:jc w:val="both"/>
        <w:rPr>
          <w:sz w:val="24"/>
          <w:szCs w:val="24"/>
        </w:rPr>
      </w:pPr>
      <w:r>
        <w:rPr>
          <w:b/>
          <w:sz w:val="24"/>
          <w:szCs w:val="24"/>
        </w:rPr>
        <w:t>A</w:t>
      </w:r>
      <w:r w:rsidR="006841DF" w:rsidRPr="0025710B">
        <w:rPr>
          <w:b/>
          <w:sz w:val="24"/>
          <w:szCs w:val="24"/>
        </w:rPr>
        <w:t xml:space="preserve"> livello UE</w:t>
      </w:r>
    </w:p>
    <w:p w:rsidR="006841DF" w:rsidRPr="0025710B" w:rsidRDefault="006841DF" w:rsidP="00492EDE">
      <w:pPr>
        <w:spacing w:before="120" w:after="120"/>
        <w:jc w:val="both"/>
        <w:rPr>
          <w:sz w:val="24"/>
          <w:szCs w:val="24"/>
        </w:rPr>
      </w:pPr>
      <w:r w:rsidRPr="0025710B">
        <w:rPr>
          <w:sz w:val="24"/>
          <w:szCs w:val="24"/>
        </w:rPr>
        <w:t xml:space="preserve">La proposta di direttiva </w:t>
      </w:r>
      <w:r w:rsidR="00FF1B67" w:rsidRPr="0025710B">
        <w:rPr>
          <w:sz w:val="24"/>
          <w:szCs w:val="24"/>
        </w:rPr>
        <w:t xml:space="preserve">(Allegato 1) </w:t>
      </w:r>
      <w:r w:rsidRPr="0025710B">
        <w:rPr>
          <w:sz w:val="24"/>
          <w:szCs w:val="24"/>
        </w:rPr>
        <w:t>è stata trasmessa al Consiglio</w:t>
      </w:r>
      <w:r w:rsidR="00E52B47">
        <w:rPr>
          <w:sz w:val="24"/>
          <w:szCs w:val="24"/>
        </w:rPr>
        <w:t xml:space="preserve"> europeo</w:t>
      </w:r>
      <w:r w:rsidRPr="0025710B">
        <w:rPr>
          <w:sz w:val="24"/>
          <w:szCs w:val="24"/>
        </w:rPr>
        <w:t>, che ne ha avviato l'esame nell'ambito del Gruppo appalti pubblici, e al Parlamento</w:t>
      </w:r>
      <w:r w:rsidR="00E52B47">
        <w:rPr>
          <w:sz w:val="24"/>
          <w:szCs w:val="24"/>
        </w:rPr>
        <w:t xml:space="preserve"> europeo</w:t>
      </w:r>
      <w:r w:rsidRPr="0025710B">
        <w:rPr>
          <w:sz w:val="24"/>
          <w:szCs w:val="24"/>
        </w:rPr>
        <w:t>, che la esaminerà nell'ambito della Commissione IMCO (mercato interno).</w:t>
      </w:r>
    </w:p>
    <w:p w:rsidR="006841DF" w:rsidRPr="0025710B" w:rsidRDefault="006841DF" w:rsidP="00492EDE">
      <w:pPr>
        <w:spacing w:before="120" w:after="120"/>
        <w:jc w:val="both"/>
        <w:rPr>
          <w:sz w:val="24"/>
          <w:szCs w:val="24"/>
        </w:rPr>
      </w:pPr>
      <w:r w:rsidRPr="0025710B">
        <w:rPr>
          <w:sz w:val="24"/>
          <w:szCs w:val="24"/>
        </w:rPr>
        <w:t>Il Gruppo appalti del Consiglio ha già proposto alcune modifiche al testo iniziale, volte a chiarire e a rendere più esaustive definizioni e contenuti</w:t>
      </w:r>
      <w:r w:rsidR="00FF1B67" w:rsidRPr="0025710B">
        <w:rPr>
          <w:sz w:val="24"/>
          <w:szCs w:val="24"/>
        </w:rPr>
        <w:t xml:space="preserve"> (Allegato 2)</w:t>
      </w:r>
      <w:r w:rsidRPr="0025710B">
        <w:rPr>
          <w:sz w:val="24"/>
          <w:szCs w:val="24"/>
        </w:rPr>
        <w:t xml:space="preserve">. L'esame proseguirà nel corso del mese di ottobre, con la discussione tra i </w:t>
      </w:r>
      <w:r w:rsidR="004E29B0">
        <w:rPr>
          <w:sz w:val="24"/>
          <w:szCs w:val="24"/>
        </w:rPr>
        <w:t xml:space="preserve">rappresentanti degli </w:t>
      </w:r>
      <w:r w:rsidRPr="0025710B">
        <w:rPr>
          <w:sz w:val="24"/>
          <w:szCs w:val="24"/>
        </w:rPr>
        <w:t xml:space="preserve">Stati membri e la formulazione di eventuali ulteriori proposte di modifica. </w:t>
      </w:r>
    </w:p>
    <w:p w:rsidR="0025710B" w:rsidRDefault="006841DF" w:rsidP="00492EDE">
      <w:pPr>
        <w:spacing w:before="120" w:after="120"/>
        <w:jc w:val="both"/>
        <w:rPr>
          <w:sz w:val="24"/>
          <w:szCs w:val="24"/>
        </w:rPr>
      </w:pPr>
      <w:r w:rsidRPr="0025710B">
        <w:rPr>
          <w:sz w:val="24"/>
          <w:szCs w:val="24"/>
        </w:rPr>
        <w:t xml:space="preserve">Per quanto riguarda il Parlamento, il 30 settembre scorso alla Commissione IMCO si è tenuta la presentazione da parte della Commissione europea </w:t>
      </w:r>
      <w:r w:rsidR="00B064F5" w:rsidRPr="0025710B">
        <w:rPr>
          <w:sz w:val="24"/>
          <w:szCs w:val="24"/>
        </w:rPr>
        <w:t>del</w:t>
      </w:r>
      <w:r w:rsidRPr="0025710B">
        <w:rPr>
          <w:sz w:val="24"/>
          <w:szCs w:val="24"/>
        </w:rPr>
        <w:t xml:space="preserve">la valutazione d'impatto della direttiva. La relatrice è l'On. </w:t>
      </w:r>
      <w:proofErr w:type="spellStart"/>
      <w:r w:rsidRPr="0025710B">
        <w:rPr>
          <w:sz w:val="24"/>
          <w:szCs w:val="24"/>
        </w:rPr>
        <w:t>Birgit</w:t>
      </w:r>
      <w:proofErr w:type="spellEnd"/>
      <w:r w:rsidRPr="0025710B">
        <w:rPr>
          <w:sz w:val="24"/>
          <w:szCs w:val="24"/>
        </w:rPr>
        <w:t xml:space="preserve"> </w:t>
      </w:r>
      <w:proofErr w:type="spellStart"/>
      <w:r w:rsidRPr="0025710B">
        <w:rPr>
          <w:sz w:val="24"/>
          <w:szCs w:val="24"/>
        </w:rPr>
        <w:t>Collin-Langen</w:t>
      </w:r>
      <w:proofErr w:type="spellEnd"/>
      <w:r w:rsidRPr="0025710B">
        <w:rPr>
          <w:sz w:val="24"/>
          <w:szCs w:val="24"/>
        </w:rPr>
        <w:t xml:space="preserve"> (PPE, Germania)</w:t>
      </w:r>
      <w:r w:rsidR="00FF1B67" w:rsidRPr="0025710B">
        <w:rPr>
          <w:sz w:val="24"/>
          <w:szCs w:val="24"/>
        </w:rPr>
        <w:t>,</w:t>
      </w:r>
      <w:r w:rsidRPr="0025710B">
        <w:rPr>
          <w:sz w:val="24"/>
          <w:szCs w:val="24"/>
        </w:rPr>
        <w:t xml:space="preserve"> che dovrebbe presentare la relazione entro metà ottobre. Al momento, lo scambio di opinioni in commissione IMCO è previsto per il 4/5 novembre, mentre il termine per la presentazione degli emendamenti è stato fissato per il 7 novembre. Una volta concluso l'iter di discussione degli emendamenti e dei compromessi, il voto in commissione IMC</w:t>
      </w:r>
      <w:r w:rsidR="00FF1B67" w:rsidRPr="0025710B">
        <w:rPr>
          <w:sz w:val="24"/>
          <w:szCs w:val="24"/>
        </w:rPr>
        <w:t>O è previsto per il 1</w:t>
      </w:r>
      <w:r w:rsidR="00334CAC">
        <w:rPr>
          <w:sz w:val="24"/>
          <w:szCs w:val="24"/>
        </w:rPr>
        <w:t>7 dicembre.</w:t>
      </w:r>
    </w:p>
    <w:p w:rsidR="006841DF" w:rsidRPr="0025710B" w:rsidRDefault="00334CAC" w:rsidP="00492EDE">
      <w:pPr>
        <w:pStyle w:val="Paragrafoelenco"/>
        <w:numPr>
          <w:ilvl w:val="0"/>
          <w:numId w:val="3"/>
        </w:numPr>
        <w:spacing w:before="120" w:after="120"/>
        <w:contextualSpacing w:val="0"/>
        <w:jc w:val="both"/>
        <w:rPr>
          <w:sz w:val="24"/>
          <w:szCs w:val="24"/>
        </w:rPr>
      </w:pPr>
      <w:r>
        <w:rPr>
          <w:b/>
          <w:sz w:val="24"/>
          <w:szCs w:val="24"/>
        </w:rPr>
        <w:t>A</w:t>
      </w:r>
      <w:r w:rsidR="006841DF" w:rsidRPr="0025710B">
        <w:rPr>
          <w:b/>
          <w:sz w:val="24"/>
          <w:szCs w:val="24"/>
        </w:rPr>
        <w:t xml:space="preserve"> livello nazionale</w:t>
      </w:r>
    </w:p>
    <w:p w:rsidR="006841DF" w:rsidRPr="0025710B" w:rsidRDefault="00B064F5" w:rsidP="00492EDE">
      <w:pPr>
        <w:spacing w:before="120" w:after="120"/>
        <w:jc w:val="both"/>
        <w:rPr>
          <w:sz w:val="24"/>
          <w:szCs w:val="24"/>
        </w:rPr>
      </w:pPr>
      <w:r w:rsidRPr="0025710B">
        <w:rPr>
          <w:sz w:val="24"/>
          <w:szCs w:val="24"/>
        </w:rPr>
        <w:t>Il</w:t>
      </w:r>
      <w:r w:rsidR="006841DF" w:rsidRPr="0025710B">
        <w:rPr>
          <w:sz w:val="24"/>
          <w:szCs w:val="24"/>
        </w:rPr>
        <w:t xml:space="preserve"> dossier viene seguito dal Dipartimento per le Politiche </w:t>
      </w:r>
      <w:r w:rsidR="00A76CF1">
        <w:rPr>
          <w:sz w:val="24"/>
          <w:szCs w:val="24"/>
        </w:rPr>
        <w:t>e</w:t>
      </w:r>
      <w:r w:rsidR="004E29B0">
        <w:rPr>
          <w:sz w:val="24"/>
          <w:szCs w:val="24"/>
        </w:rPr>
        <w:t>uropee</w:t>
      </w:r>
      <w:r w:rsidR="006841DF" w:rsidRPr="0025710B">
        <w:rPr>
          <w:sz w:val="24"/>
          <w:szCs w:val="24"/>
        </w:rPr>
        <w:t xml:space="preserve">, </w:t>
      </w:r>
      <w:r w:rsidR="00FF1B67" w:rsidRPr="0025710B">
        <w:rPr>
          <w:sz w:val="24"/>
          <w:szCs w:val="24"/>
        </w:rPr>
        <w:t>cui fa capo</w:t>
      </w:r>
      <w:r w:rsidR="006841DF" w:rsidRPr="0025710B">
        <w:rPr>
          <w:sz w:val="24"/>
          <w:szCs w:val="24"/>
        </w:rPr>
        <w:t xml:space="preserve"> il Tavolo </w:t>
      </w:r>
      <w:r w:rsidR="00FC1C61" w:rsidRPr="0025710B">
        <w:rPr>
          <w:sz w:val="24"/>
          <w:szCs w:val="24"/>
        </w:rPr>
        <w:t xml:space="preserve">di coordinamento </w:t>
      </w:r>
      <w:r w:rsidR="00FF1B67" w:rsidRPr="0025710B">
        <w:rPr>
          <w:sz w:val="24"/>
          <w:szCs w:val="24"/>
        </w:rPr>
        <w:t xml:space="preserve">delle Pubbliche Amministrazioni. </w:t>
      </w:r>
      <w:r w:rsidR="0027611F" w:rsidRPr="0025710B">
        <w:rPr>
          <w:sz w:val="24"/>
          <w:szCs w:val="24"/>
        </w:rPr>
        <w:t xml:space="preserve">Per coinvolgere tutti gli </w:t>
      </w:r>
      <w:proofErr w:type="spellStart"/>
      <w:r w:rsidR="0027611F" w:rsidRPr="001E66B5">
        <w:rPr>
          <w:i/>
          <w:sz w:val="24"/>
          <w:szCs w:val="24"/>
        </w:rPr>
        <w:t>stakeholder</w:t>
      </w:r>
      <w:proofErr w:type="spellEnd"/>
      <w:r w:rsidR="0027611F" w:rsidRPr="0025710B">
        <w:rPr>
          <w:sz w:val="24"/>
          <w:szCs w:val="24"/>
        </w:rPr>
        <w:t xml:space="preserve">, </w:t>
      </w:r>
      <w:r w:rsidR="00334CAC" w:rsidRPr="0025710B">
        <w:rPr>
          <w:sz w:val="24"/>
          <w:szCs w:val="24"/>
        </w:rPr>
        <w:t xml:space="preserve">anche Confindustria è stata invitata a partecipare </w:t>
      </w:r>
      <w:r w:rsidR="0027611F" w:rsidRPr="0025710B">
        <w:rPr>
          <w:sz w:val="24"/>
          <w:szCs w:val="24"/>
        </w:rPr>
        <w:t>a</w:t>
      </w:r>
      <w:r w:rsidRPr="0025710B">
        <w:rPr>
          <w:sz w:val="24"/>
          <w:szCs w:val="24"/>
        </w:rPr>
        <w:t>l Tavolo</w:t>
      </w:r>
      <w:r w:rsidR="00334CAC">
        <w:rPr>
          <w:sz w:val="24"/>
          <w:szCs w:val="24"/>
        </w:rPr>
        <w:t>.</w:t>
      </w:r>
    </w:p>
    <w:p w:rsidR="006841DF" w:rsidRPr="0025710B" w:rsidRDefault="00B064F5" w:rsidP="00492EDE">
      <w:pPr>
        <w:spacing w:before="120" w:after="120"/>
        <w:jc w:val="both"/>
        <w:rPr>
          <w:sz w:val="24"/>
          <w:szCs w:val="24"/>
        </w:rPr>
      </w:pPr>
      <w:r w:rsidRPr="0025710B">
        <w:rPr>
          <w:sz w:val="24"/>
          <w:szCs w:val="24"/>
        </w:rPr>
        <w:t xml:space="preserve">In occasione dei primi incontri </w:t>
      </w:r>
      <w:r w:rsidR="006841DF" w:rsidRPr="0025710B">
        <w:rPr>
          <w:sz w:val="24"/>
          <w:szCs w:val="24"/>
        </w:rPr>
        <w:t xml:space="preserve">del Tavolo sono state </w:t>
      </w:r>
      <w:r w:rsidR="0027611F" w:rsidRPr="0025710B">
        <w:rPr>
          <w:sz w:val="24"/>
          <w:szCs w:val="24"/>
        </w:rPr>
        <w:t>sollevate</w:t>
      </w:r>
      <w:r w:rsidR="006841DF" w:rsidRPr="0025710B">
        <w:rPr>
          <w:sz w:val="24"/>
          <w:szCs w:val="24"/>
        </w:rPr>
        <w:t>, in particolare da</w:t>
      </w:r>
      <w:r w:rsidR="00450A69" w:rsidRPr="0025710B">
        <w:rPr>
          <w:sz w:val="24"/>
          <w:szCs w:val="24"/>
        </w:rPr>
        <w:t xml:space="preserve"> parte di </w:t>
      </w:r>
      <w:r w:rsidR="006841DF" w:rsidRPr="0025710B">
        <w:rPr>
          <w:sz w:val="24"/>
          <w:szCs w:val="24"/>
        </w:rPr>
        <w:t xml:space="preserve">Agenzia dell'Entrate </w:t>
      </w:r>
      <w:r w:rsidRPr="0025710B">
        <w:rPr>
          <w:sz w:val="24"/>
          <w:szCs w:val="24"/>
        </w:rPr>
        <w:t>e Agenzia per l'Italia Digitale,</w:t>
      </w:r>
      <w:r w:rsidR="006841DF" w:rsidRPr="0025710B">
        <w:rPr>
          <w:sz w:val="24"/>
          <w:szCs w:val="24"/>
        </w:rPr>
        <w:t xml:space="preserve"> alcune </w:t>
      </w:r>
      <w:r w:rsidR="0027611F" w:rsidRPr="0025710B">
        <w:rPr>
          <w:sz w:val="24"/>
          <w:szCs w:val="24"/>
        </w:rPr>
        <w:t>perplessità</w:t>
      </w:r>
      <w:r w:rsidR="006841DF" w:rsidRPr="0025710B">
        <w:rPr>
          <w:sz w:val="24"/>
          <w:szCs w:val="24"/>
        </w:rPr>
        <w:t xml:space="preserve"> </w:t>
      </w:r>
      <w:r w:rsidRPr="0025710B">
        <w:rPr>
          <w:sz w:val="24"/>
          <w:szCs w:val="24"/>
        </w:rPr>
        <w:t xml:space="preserve">relative </w:t>
      </w:r>
      <w:r w:rsidR="006841DF" w:rsidRPr="0025710B">
        <w:rPr>
          <w:sz w:val="24"/>
          <w:szCs w:val="24"/>
        </w:rPr>
        <w:t xml:space="preserve">al coordinamento </w:t>
      </w:r>
      <w:r w:rsidRPr="0025710B">
        <w:rPr>
          <w:sz w:val="24"/>
          <w:szCs w:val="24"/>
        </w:rPr>
        <w:t xml:space="preserve">tra attività e norme europee e nazionali </w:t>
      </w:r>
      <w:r w:rsidR="0027611F" w:rsidRPr="0025710B">
        <w:rPr>
          <w:sz w:val="24"/>
          <w:szCs w:val="24"/>
        </w:rPr>
        <w:t>in tema di</w:t>
      </w:r>
      <w:r w:rsidR="006841DF" w:rsidRPr="0025710B">
        <w:rPr>
          <w:sz w:val="24"/>
          <w:szCs w:val="24"/>
        </w:rPr>
        <w:t xml:space="preserve"> </w:t>
      </w:r>
      <w:r w:rsidRPr="0025710B">
        <w:rPr>
          <w:sz w:val="24"/>
          <w:szCs w:val="24"/>
        </w:rPr>
        <w:t>fatturazione elettronica</w:t>
      </w:r>
      <w:r w:rsidR="006841DF" w:rsidRPr="0025710B">
        <w:rPr>
          <w:sz w:val="24"/>
          <w:szCs w:val="24"/>
        </w:rPr>
        <w:t xml:space="preserve"> (</w:t>
      </w:r>
      <w:r w:rsidRPr="0025710B">
        <w:rPr>
          <w:sz w:val="24"/>
          <w:szCs w:val="24"/>
        </w:rPr>
        <w:t xml:space="preserve">es. </w:t>
      </w:r>
      <w:r w:rsidR="006841DF" w:rsidRPr="0025710B">
        <w:rPr>
          <w:sz w:val="24"/>
          <w:szCs w:val="24"/>
        </w:rPr>
        <w:t>direttiva IVA e norme nazionali</w:t>
      </w:r>
      <w:r w:rsidR="00450A69" w:rsidRPr="0025710B">
        <w:rPr>
          <w:sz w:val="24"/>
          <w:szCs w:val="24"/>
        </w:rPr>
        <w:t xml:space="preserve"> di introduzione dell’obbligo di fatturazione </w:t>
      </w:r>
      <w:r w:rsidR="00D5676E" w:rsidRPr="0025710B">
        <w:rPr>
          <w:sz w:val="24"/>
          <w:szCs w:val="24"/>
        </w:rPr>
        <w:t>elettronica tra PA e imprese</w:t>
      </w:r>
      <w:r w:rsidR="006841DF" w:rsidRPr="0025710B">
        <w:rPr>
          <w:sz w:val="24"/>
          <w:szCs w:val="24"/>
        </w:rPr>
        <w:t>)</w:t>
      </w:r>
      <w:r w:rsidR="00450A69" w:rsidRPr="0025710B">
        <w:rPr>
          <w:sz w:val="24"/>
          <w:szCs w:val="24"/>
        </w:rPr>
        <w:t>.</w:t>
      </w:r>
    </w:p>
    <w:p w:rsidR="006841DF" w:rsidRPr="002538D9" w:rsidRDefault="000C0E5B" w:rsidP="00492EDE">
      <w:pPr>
        <w:spacing w:before="120" w:after="120"/>
        <w:jc w:val="both"/>
        <w:rPr>
          <w:b/>
          <w:smallCaps/>
          <w:color w:val="548DD4" w:themeColor="text2" w:themeTint="99"/>
          <w:sz w:val="24"/>
          <w:szCs w:val="28"/>
        </w:rPr>
      </w:pPr>
      <w:r w:rsidRPr="002538D9">
        <w:rPr>
          <w:b/>
          <w:smallCaps/>
          <w:color w:val="548DD4" w:themeColor="text2" w:themeTint="99"/>
          <w:sz w:val="24"/>
          <w:szCs w:val="28"/>
        </w:rPr>
        <w:lastRenderedPageBreak/>
        <w:t xml:space="preserve">2. </w:t>
      </w:r>
      <w:r w:rsidR="004655B3" w:rsidRPr="002538D9">
        <w:rPr>
          <w:b/>
          <w:smallCaps/>
          <w:color w:val="548DD4" w:themeColor="text2" w:themeTint="99"/>
          <w:sz w:val="24"/>
          <w:szCs w:val="28"/>
        </w:rPr>
        <w:t>Punti di attenzione</w:t>
      </w:r>
    </w:p>
    <w:p w:rsidR="0025710B" w:rsidRPr="0025710B" w:rsidRDefault="000C0E5B" w:rsidP="0025710B">
      <w:pPr>
        <w:spacing w:before="120"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a) </w:t>
      </w:r>
      <w:r w:rsidR="0025710B" w:rsidRPr="0025710B">
        <w:rPr>
          <w:b/>
          <w:sz w:val="24"/>
          <w:szCs w:val="24"/>
        </w:rPr>
        <w:t>Ambito di applicazione</w:t>
      </w:r>
    </w:p>
    <w:p w:rsidR="0025710B" w:rsidRPr="0025710B" w:rsidRDefault="0025710B" w:rsidP="0025710B">
      <w:pPr>
        <w:spacing w:before="120" w:after="120"/>
        <w:jc w:val="both"/>
        <w:rPr>
          <w:sz w:val="24"/>
          <w:szCs w:val="24"/>
        </w:rPr>
      </w:pPr>
      <w:r w:rsidRPr="0025710B">
        <w:rPr>
          <w:sz w:val="24"/>
          <w:szCs w:val="24"/>
        </w:rPr>
        <w:t>La direttiva si applicherà, posto sempre il preventivo accordo tra le parti, a tutte le fatture emesse in via elettronica nell'ambito di contratti pubblici, aggiudicati ai sensi delle nuove direttive europee sugli appalti pubblici (sia settori ordinari che utilities) e della nuova direttiva concessioni. In questa fattispecie tipica, i soggetti interessati non saranno esclusivamente le PA, che nel caso dell’Italia è già previsto ricevano obbligatoriamente solo f</w:t>
      </w:r>
      <w:r w:rsidR="004E29B0">
        <w:rPr>
          <w:sz w:val="24"/>
          <w:szCs w:val="24"/>
        </w:rPr>
        <w:t>atture elettroniche, bensì tutti</w:t>
      </w:r>
      <w:r w:rsidRPr="0025710B">
        <w:rPr>
          <w:sz w:val="24"/>
          <w:szCs w:val="24"/>
        </w:rPr>
        <w:t xml:space="preserve"> </w:t>
      </w:r>
      <w:r w:rsidR="003E041C">
        <w:rPr>
          <w:sz w:val="24"/>
          <w:szCs w:val="24"/>
        </w:rPr>
        <w:t>i soggetti</w:t>
      </w:r>
      <w:r w:rsidR="004E29B0">
        <w:rPr>
          <w:sz w:val="24"/>
          <w:szCs w:val="24"/>
        </w:rPr>
        <w:t xml:space="preserve"> aggiudicatori</w:t>
      </w:r>
      <w:r w:rsidR="003E041C">
        <w:rPr>
          <w:sz w:val="24"/>
          <w:szCs w:val="24"/>
        </w:rPr>
        <w:t xml:space="preserve">, </w:t>
      </w:r>
      <w:r w:rsidR="000C0E5B">
        <w:rPr>
          <w:sz w:val="24"/>
          <w:szCs w:val="24"/>
        </w:rPr>
        <w:t>incluse le</w:t>
      </w:r>
      <w:r w:rsidRPr="0025710B">
        <w:rPr>
          <w:sz w:val="24"/>
          <w:szCs w:val="24"/>
        </w:rPr>
        <w:t xml:space="preserve"> imprese pubbliche ed enti concedenti. Questi ultimi soggetti sono tradizionalmente fuori dall'ambito della PA, ma ricompresi nell’ambito di applicazione delle direttive appalti e concessioni (es. Enel, Eni, FS, Poste, concessionari</w:t>
      </w:r>
      <w:r w:rsidR="003E041C">
        <w:rPr>
          <w:sz w:val="24"/>
          <w:szCs w:val="24"/>
        </w:rPr>
        <w:t xml:space="preserve"> diversi dalle </w:t>
      </w:r>
      <w:r w:rsidR="001042B0">
        <w:rPr>
          <w:sz w:val="24"/>
          <w:szCs w:val="24"/>
        </w:rPr>
        <w:t>PA</w:t>
      </w:r>
      <w:r w:rsidRPr="0025710B">
        <w:rPr>
          <w:sz w:val="24"/>
          <w:szCs w:val="24"/>
        </w:rPr>
        <w:t>).</w:t>
      </w:r>
    </w:p>
    <w:p w:rsidR="0025710B" w:rsidRPr="0025710B" w:rsidRDefault="0025710B" w:rsidP="0025710B">
      <w:pPr>
        <w:spacing w:before="120" w:after="120"/>
        <w:jc w:val="both"/>
        <w:rPr>
          <w:sz w:val="24"/>
          <w:szCs w:val="24"/>
        </w:rPr>
      </w:pPr>
    </w:p>
    <w:p w:rsidR="000E60F1" w:rsidRPr="0025710B" w:rsidRDefault="000C0E5B" w:rsidP="00492EDE">
      <w:pPr>
        <w:spacing w:before="120"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b) </w:t>
      </w:r>
      <w:r w:rsidR="000370AE" w:rsidRPr="0025710B">
        <w:rPr>
          <w:b/>
          <w:sz w:val="24"/>
          <w:szCs w:val="24"/>
        </w:rPr>
        <w:t>Coordinamento tra disciplina comunitaria e nazionale</w:t>
      </w:r>
    </w:p>
    <w:p w:rsidR="00385F77" w:rsidRPr="0025710B" w:rsidRDefault="000E60F1" w:rsidP="00492EDE">
      <w:pPr>
        <w:spacing w:before="120" w:after="120"/>
        <w:jc w:val="both"/>
        <w:rPr>
          <w:sz w:val="24"/>
          <w:szCs w:val="24"/>
        </w:rPr>
      </w:pPr>
      <w:r w:rsidRPr="0025710B">
        <w:rPr>
          <w:sz w:val="24"/>
          <w:szCs w:val="24"/>
        </w:rPr>
        <w:t>L</w:t>
      </w:r>
      <w:r w:rsidR="00385F77" w:rsidRPr="0025710B">
        <w:rPr>
          <w:sz w:val="24"/>
          <w:szCs w:val="24"/>
        </w:rPr>
        <w:t xml:space="preserve">a proposta </w:t>
      </w:r>
      <w:r w:rsidR="00517FDE" w:rsidRPr="0025710B">
        <w:rPr>
          <w:sz w:val="24"/>
          <w:szCs w:val="24"/>
        </w:rPr>
        <w:t>non prevede l’obbligo di scambio delle fatture in via elettronica</w:t>
      </w:r>
      <w:r w:rsidR="004E29B0">
        <w:rPr>
          <w:sz w:val="24"/>
          <w:szCs w:val="24"/>
        </w:rPr>
        <w:t xml:space="preserve"> nei contratti </w:t>
      </w:r>
      <w:r w:rsidR="00774F14" w:rsidRPr="0025710B">
        <w:rPr>
          <w:sz w:val="24"/>
          <w:szCs w:val="24"/>
        </w:rPr>
        <w:t>pubblici</w:t>
      </w:r>
      <w:r w:rsidR="00517FDE" w:rsidRPr="0025710B">
        <w:rPr>
          <w:sz w:val="24"/>
          <w:szCs w:val="24"/>
        </w:rPr>
        <w:t xml:space="preserve">, ma - </w:t>
      </w:r>
      <w:r w:rsidRPr="0025710B">
        <w:rPr>
          <w:sz w:val="24"/>
          <w:szCs w:val="24"/>
        </w:rPr>
        <w:t xml:space="preserve">secondo </w:t>
      </w:r>
      <w:r w:rsidR="00517FDE" w:rsidRPr="0025710B">
        <w:rPr>
          <w:sz w:val="24"/>
          <w:szCs w:val="24"/>
        </w:rPr>
        <w:t xml:space="preserve">quanto </w:t>
      </w:r>
      <w:r w:rsidR="004C3CA9" w:rsidRPr="0025710B">
        <w:rPr>
          <w:sz w:val="24"/>
          <w:szCs w:val="24"/>
        </w:rPr>
        <w:t>stabilito</w:t>
      </w:r>
      <w:r w:rsidR="00517FDE" w:rsidRPr="0025710B">
        <w:rPr>
          <w:sz w:val="24"/>
          <w:szCs w:val="24"/>
        </w:rPr>
        <w:t xml:space="preserve"> dalla direttiva IVA - tale scambio </w:t>
      </w:r>
      <w:r w:rsidR="009630DD" w:rsidRPr="0025710B">
        <w:rPr>
          <w:sz w:val="24"/>
          <w:szCs w:val="24"/>
        </w:rPr>
        <w:t xml:space="preserve">è </w:t>
      </w:r>
      <w:r w:rsidR="00517FDE" w:rsidRPr="0025710B">
        <w:rPr>
          <w:sz w:val="24"/>
          <w:szCs w:val="24"/>
        </w:rPr>
        <w:t xml:space="preserve">comunque </w:t>
      </w:r>
      <w:r w:rsidR="009630DD" w:rsidRPr="0025710B">
        <w:rPr>
          <w:sz w:val="24"/>
          <w:szCs w:val="24"/>
        </w:rPr>
        <w:t>rimesso all’accordo tra le parti</w:t>
      </w:r>
      <w:r w:rsidR="00517FDE" w:rsidRPr="0025710B">
        <w:rPr>
          <w:sz w:val="24"/>
          <w:szCs w:val="24"/>
        </w:rPr>
        <w:t xml:space="preserve">. In proposito, si sottolinea che in Italia </w:t>
      </w:r>
      <w:r w:rsidRPr="0025710B">
        <w:rPr>
          <w:sz w:val="24"/>
          <w:szCs w:val="24"/>
        </w:rPr>
        <w:t>si è scelto, invece, di imporre l’</w:t>
      </w:r>
      <w:r w:rsidR="00385F77" w:rsidRPr="0025710B">
        <w:rPr>
          <w:sz w:val="24"/>
          <w:szCs w:val="24"/>
        </w:rPr>
        <w:t xml:space="preserve">obbligo </w:t>
      </w:r>
      <w:r w:rsidRPr="0025710B">
        <w:rPr>
          <w:sz w:val="24"/>
          <w:szCs w:val="24"/>
        </w:rPr>
        <w:t>di scambio delle fatture elettroniche tra PA e imprese</w:t>
      </w:r>
      <w:r w:rsidR="00385F77" w:rsidRPr="0025710B">
        <w:rPr>
          <w:sz w:val="24"/>
          <w:szCs w:val="24"/>
        </w:rPr>
        <w:t>. Tale obbligo, attuato con il decreto ministeriale n. 55 del 3 aprile 2013, sarà efficace per alcune amministrazioni centrali dello Stato (ministeri, agenzie fiscali ed enti di previdenza) a decorrere dal 6 giugno 20</w:t>
      </w:r>
      <w:r w:rsidRPr="0025710B">
        <w:rPr>
          <w:sz w:val="24"/>
          <w:szCs w:val="24"/>
        </w:rPr>
        <w:t>14 e,</w:t>
      </w:r>
      <w:r w:rsidR="00385F77" w:rsidRPr="0025710B">
        <w:rPr>
          <w:sz w:val="24"/>
          <w:szCs w:val="24"/>
        </w:rPr>
        <w:t xml:space="preserve"> a seguire, per le altre amministrazioni centrali e periferiche.</w:t>
      </w:r>
    </w:p>
    <w:p w:rsidR="00492EDE" w:rsidRPr="0025710B" w:rsidRDefault="00492EDE" w:rsidP="00492EDE">
      <w:pPr>
        <w:spacing w:before="120" w:after="120"/>
        <w:jc w:val="both"/>
        <w:rPr>
          <w:sz w:val="24"/>
          <w:szCs w:val="24"/>
        </w:rPr>
      </w:pPr>
    </w:p>
    <w:p w:rsidR="009630DD" w:rsidRPr="0025710B" w:rsidRDefault="000C0E5B" w:rsidP="00492EDE">
      <w:pPr>
        <w:spacing w:before="120"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c) </w:t>
      </w:r>
      <w:r w:rsidR="009630DD" w:rsidRPr="0025710B">
        <w:rPr>
          <w:b/>
          <w:sz w:val="24"/>
          <w:szCs w:val="24"/>
        </w:rPr>
        <w:t>Standardizzazione modello semantico e sintattico della fattura</w:t>
      </w:r>
      <w:r w:rsidR="003E73E7" w:rsidRPr="0025710B">
        <w:rPr>
          <w:b/>
          <w:sz w:val="24"/>
          <w:szCs w:val="24"/>
        </w:rPr>
        <w:t xml:space="preserve"> elettronica</w:t>
      </w:r>
    </w:p>
    <w:p w:rsidR="004C3CA9" w:rsidRPr="0025710B" w:rsidRDefault="005F172B" w:rsidP="00492EDE">
      <w:pPr>
        <w:spacing w:before="120" w:after="120"/>
        <w:jc w:val="both"/>
        <w:rPr>
          <w:sz w:val="24"/>
          <w:szCs w:val="24"/>
        </w:rPr>
      </w:pPr>
      <w:r w:rsidRPr="0025710B">
        <w:rPr>
          <w:sz w:val="24"/>
          <w:szCs w:val="24"/>
        </w:rPr>
        <w:t xml:space="preserve">La </w:t>
      </w:r>
      <w:r w:rsidR="002A712D" w:rsidRPr="0025710B">
        <w:rPr>
          <w:sz w:val="24"/>
          <w:szCs w:val="24"/>
        </w:rPr>
        <w:t xml:space="preserve">proposta di </w:t>
      </w:r>
      <w:r w:rsidRPr="0025710B">
        <w:rPr>
          <w:sz w:val="24"/>
          <w:szCs w:val="24"/>
        </w:rPr>
        <w:t>direttiva promuove la standardizzazione del modello semantico (linguaggio) e del modello sintattico (formato) della fatt</w:t>
      </w:r>
      <w:r w:rsidR="00774F14" w:rsidRPr="0025710B">
        <w:rPr>
          <w:sz w:val="24"/>
          <w:szCs w:val="24"/>
        </w:rPr>
        <w:t>ura elettronica. A questo scopo,</w:t>
      </w:r>
      <w:r w:rsidRPr="0025710B">
        <w:rPr>
          <w:sz w:val="24"/>
          <w:szCs w:val="24"/>
        </w:rPr>
        <w:t xml:space="preserve"> prevede l’implementazione di uno standard semantico </w:t>
      </w:r>
      <w:r w:rsidR="002A712D" w:rsidRPr="0025710B">
        <w:rPr>
          <w:sz w:val="24"/>
          <w:szCs w:val="24"/>
        </w:rPr>
        <w:t>per la parte “</w:t>
      </w:r>
      <w:proofErr w:type="spellStart"/>
      <w:r w:rsidRPr="0025710B">
        <w:rPr>
          <w:sz w:val="24"/>
          <w:szCs w:val="24"/>
        </w:rPr>
        <w:t>core</w:t>
      </w:r>
      <w:proofErr w:type="spellEnd"/>
      <w:r w:rsidR="002A712D" w:rsidRPr="0025710B">
        <w:rPr>
          <w:sz w:val="24"/>
          <w:szCs w:val="24"/>
        </w:rPr>
        <w:t>”</w:t>
      </w:r>
      <w:r w:rsidRPr="0025710B">
        <w:rPr>
          <w:sz w:val="24"/>
          <w:szCs w:val="24"/>
        </w:rPr>
        <w:t xml:space="preserve"> </w:t>
      </w:r>
      <w:r w:rsidR="002A712D" w:rsidRPr="0025710B">
        <w:rPr>
          <w:sz w:val="24"/>
          <w:szCs w:val="24"/>
        </w:rPr>
        <w:t>del</w:t>
      </w:r>
      <w:r w:rsidRPr="0025710B">
        <w:rPr>
          <w:sz w:val="24"/>
          <w:szCs w:val="24"/>
        </w:rPr>
        <w:t>la fattura e misure a favore dell’interoperabilità dei formati</w:t>
      </w:r>
      <w:r w:rsidR="00B628AD" w:rsidRPr="0025710B">
        <w:rPr>
          <w:sz w:val="24"/>
          <w:szCs w:val="24"/>
        </w:rPr>
        <w:t xml:space="preserve"> di emissione adottati</w:t>
      </w:r>
      <w:r w:rsidR="004C3CA9" w:rsidRPr="0025710B">
        <w:rPr>
          <w:sz w:val="24"/>
          <w:szCs w:val="24"/>
        </w:rPr>
        <w:t>.</w:t>
      </w:r>
    </w:p>
    <w:p w:rsidR="005F172B" w:rsidRPr="0025710B" w:rsidRDefault="005F172B" w:rsidP="00492EDE">
      <w:pPr>
        <w:spacing w:before="120" w:after="120"/>
        <w:jc w:val="both"/>
        <w:rPr>
          <w:sz w:val="24"/>
          <w:szCs w:val="24"/>
        </w:rPr>
      </w:pPr>
      <w:r w:rsidRPr="0025710B">
        <w:rPr>
          <w:sz w:val="24"/>
          <w:szCs w:val="24"/>
        </w:rPr>
        <w:t>In particolare, il testo affida al C</w:t>
      </w:r>
      <w:r w:rsidR="00B628AD" w:rsidRPr="0025710B">
        <w:rPr>
          <w:sz w:val="24"/>
          <w:szCs w:val="24"/>
        </w:rPr>
        <w:t>EN</w:t>
      </w:r>
      <w:r w:rsidR="00E52B47">
        <w:rPr>
          <w:sz w:val="24"/>
          <w:szCs w:val="24"/>
        </w:rPr>
        <w:t xml:space="preserve"> (Comitato europeo di </w:t>
      </w:r>
      <w:proofErr w:type="spellStart"/>
      <w:r w:rsidR="00E52B47">
        <w:rPr>
          <w:sz w:val="24"/>
          <w:szCs w:val="24"/>
        </w:rPr>
        <w:t>normazione</w:t>
      </w:r>
      <w:proofErr w:type="spellEnd"/>
      <w:r w:rsidR="00E52B47">
        <w:rPr>
          <w:sz w:val="24"/>
          <w:szCs w:val="24"/>
        </w:rPr>
        <w:t>)</w:t>
      </w:r>
      <w:r w:rsidR="00B628AD" w:rsidRPr="0025710B">
        <w:rPr>
          <w:sz w:val="24"/>
          <w:szCs w:val="24"/>
        </w:rPr>
        <w:t>, o</w:t>
      </w:r>
      <w:r w:rsidRPr="0025710B">
        <w:rPr>
          <w:sz w:val="24"/>
          <w:szCs w:val="24"/>
        </w:rPr>
        <w:t>rganismo tecnico di standardizzazione europea, di individuare</w:t>
      </w:r>
      <w:r w:rsidR="004C3CA9" w:rsidRPr="0025710B">
        <w:rPr>
          <w:sz w:val="24"/>
          <w:szCs w:val="24"/>
        </w:rPr>
        <w:t xml:space="preserve">, tra i numerosi </w:t>
      </w:r>
      <w:r w:rsidR="00774F14" w:rsidRPr="0025710B">
        <w:rPr>
          <w:sz w:val="24"/>
          <w:szCs w:val="24"/>
        </w:rPr>
        <w:t xml:space="preserve">formati </w:t>
      </w:r>
      <w:r w:rsidR="004C3CA9" w:rsidRPr="0025710B">
        <w:rPr>
          <w:sz w:val="24"/>
          <w:szCs w:val="24"/>
        </w:rPr>
        <w:t>presenti sul mercato,</w:t>
      </w:r>
      <w:r w:rsidRPr="0025710B">
        <w:rPr>
          <w:sz w:val="24"/>
          <w:szCs w:val="24"/>
        </w:rPr>
        <w:t xml:space="preserve"> una lista di formati che siano compatibili con lo standard semantico</w:t>
      </w:r>
      <w:r w:rsidR="004C3CA9" w:rsidRPr="0025710B">
        <w:rPr>
          <w:sz w:val="24"/>
          <w:szCs w:val="24"/>
        </w:rPr>
        <w:t xml:space="preserve"> comune</w:t>
      </w:r>
      <w:r w:rsidR="00E52B47">
        <w:rPr>
          <w:sz w:val="24"/>
          <w:szCs w:val="24"/>
        </w:rPr>
        <w:t>.</w:t>
      </w:r>
      <w:r w:rsidRPr="0025710B">
        <w:rPr>
          <w:sz w:val="24"/>
          <w:szCs w:val="24"/>
        </w:rPr>
        <w:t xml:space="preserve"> </w:t>
      </w:r>
      <w:r w:rsidR="00E52B47">
        <w:rPr>
          <w:sz w:val="24"/>
          <w:szCs w:val="24"/>
        </w:rPr>
        <w:t>I</w:t>
      </w:r>
      <w:r w:rsidR="00E52B47" w:rsidRPr="0025710B">
        <w:rPr>
          <w:sz w:val="24"/>
          <w:szCs w:val="24"/>
        </w:rPr>
        <w:t xml:space="preserve"> </w:t>
      </w:r>
      <w:r w:rsidRPr="0025710B">
        <w:rPr>
          <w:sz w:val="24"/>
          <w:szCs w:val="24"/>
        </w:rPr>
        <w:t xml:space="preserve">destinatari della fattura (PA, enti aggiudicatori, altri soggetti assimilati) </w:t>
      </w:r>
      <w:r w:rsidR="007D6C5B" w:rsidRPr="0025710B">
        <w:rPr>
          <w:sz w:val="24"/>
          <w:szCs w:val="24"/>
        </w:rPr>
        <w:t>non potranno, quindi, rifiutare</w:t>
      </w:r>
      <w:r w:rsidRPr="0025710B">
        <w:rPr>
          <w:sz w:val="24"/>
          <w:szCs w:val="24"/>
        </w:rPr>
        <w:t xml:space="preserve"> le fatture elettroniche </w:t>
      </w:r>
      <w:r w:rsidR="00B628AD" w:rsidRPr="0025710B">
        <w:rPr>
          <w:sz w:val="24"/>
          <w:szCs w:val="24"/>
        </w:rPr>
        <w:t>conformi al</w:t>
      </w:r>
      <w:r w:rsidR="00714070" w:rsidRPr="0025710B">
        <w:rPr>
          <w:sz w:val="24"/>
          <w:szCs w:val="24"/>
        </w:rPr>
        <w:t>lo standard semantico europeo e</w:t>
      </w:r>
      <w:r w:rsidR="004C3CA9" w:rsidRPr="0025710B">
        <w:rPr>
          <w:sz w:val="24"/>
          <w:szCs w:val="24"/>
        </w:rPr>
        <w:t xml:space="preserve"> </w:t>
      </w:r>
      <w:r w:rsidR="00B628AD" w:rsidRPr="0025710B">
        <w:rPr>
          <w:sz w:val="24"/>
          <w:szCs w:val="24"/>
        </w:rPr>
        <w:t>ai formati tecnici identificati dal</w:t>
      </w:r>
      <w:r w:rsidRPr="0025710B">
        <w:rPr>
          <w:sz w:val="24"/>
          <w:szCs w:val="24"/>
        </w:rPr>
        <w:t xml:space="preserve"> CEN</w:t>
      </w:r>
      <w:r w:rsidR="00B628AD" w:rsidRPr="0025710B">
        <w:rPr>
          <w:sz w:val="24"/>
          <w:szCs w:val="24"/>
        </w:rPr>
        <w:t xml:space="preserve"> e approvati</w:t>
      </w:r>
      <w:r w:rsidR="004C3CA9" w:rsidRPr="0025710B">
        <w:rPr>
          <w:sz w:val="24"/>
          <w:szCs w:val="24"/>
        </w:rPr>
        <w:t xml:space="preserve"> dalla Commissione.</w:t>
      </w:r>
    </w:p>
    <w:p w:rsidR="000C0E5B" w:rsidRDefault="007D6C5B" w:rsidP="00492EDE">
      <w:pPr>
        <w:spacing w:before="120" w:after="120"/>
        <w:jc w:val="both"/>
        <w:rPr>
          <w:sz w:val="24"/>
          <w:szCs w:val="24"/>
        </w:rPr>
      </w:pPr>
      <w:r w:rsidRPr="0025710B">
        <w:rPr>
          <w:sz w:val="24"/>
          <w:szCs w:val="24"/>
        </w:rPr>
        <w:t>L’o</w:t>
      </w:r>
      <w:r w:rsidR="005F172B" w:rsidRPr="0025710B">
        <w:rPr>
          <w:sz w:val="24"/>
          <w:szCs w:val="24"/>
        </w:rPr>
        <w:t xml:space="preserve">biettivo </w:t>
      </w:r>
      <w:r w:rsidRPr="0025710B">
        <w:rPr>
          <w:sz w:val="24"/>
          <w:szCs w:val="24"/>
        </w:rPr>
        <w:t xml:space="preserve">strategico </w:t>
      </w:r>
      <w:r w:rsidR="005F172B" w:rsidRPr="0025710B">
        <w:rPr>
          <w:sz w:val="24"/>
          <w:szCs w:val="24"/>
        </w:rPr>
        <w:t>di tali misure è</w:t>
      </w:r>
      <w:r w:rsidR="00B628AD" w:rsidRPr="0025710B">
        <w:rPr>
          <w:sz w:val="24"/>
          <w:szCs w:val="24"/>
        </w:rPr>
        <w:t>,</w:t>
      </w:r>
      <w:r w:rsidR="005F172B" w:rsidRPr="0025710B">
        <w:rPr>
          <w:sz w:val="24"/>
          <w:szCs w:val="24"/>
        </w:rPr>
        <w:t xml:space="preserve"> in primo luogo</w:t>
      </w:r>
      <w:r w:rsidR="00B628AD" w:rsidRPr="0025710B">
        <w:rPr>
          <w:sz w:val="24"/>
          <w:szCs w:val="24"/>
        </w:rPr>
        <w:t>,</w:t>
      </w:r>
      <w:r w:rsidR="005F172B" w:rsidRPr="0025710B">
        <w:rPr>
          <w:sz w:val="24"/>
          <w:szCs w:val="24"/>
        </w:rPr>
        <w:t xml:space="preserve"> assicurare l’interoperabilità </w:t>
      </w:r>
      <w:r w:rsidR="00B628AD" w:rsidRPr="0025710B">
        <w:rPr>
          <w:sz w:val="24"/>
          <w:szCs w:val="24"/>
        </w:rPr>
        <w:t xml:space="preserve">dei sistemi di scambio di fatture elettroniche </w:t>
      </w:r>
      <w:r w:rsidR="005F172B" w:rsidRPr="0025710B">
        <w:rPr>
          <w:sz w:val="24"/>
          <w:szCs w:val="24"/>
        </w:rPr>
        <w:t xml:space="preserve">dal punto di vista semantico e, </w:t>
      </w:r>
      <w:r w:rsidR="00B628AD" w:rsidRPr="0025710B">
        <w:rPr>
          <w:sz w:val="24"/>
          <w:szCs w:val="24"/>
        </w:rPr>
        <w:t>più a</w:t>
      </w:r>
      <w:r w:rsidR="005F172B" w:rsidRPr="0025710B">
        <w:rPr>
          <w:sz w:val="24"/>
          <w:szCs w:val="24"/>
        </w:rPr>
        <w:t xml:space="preserve"> lungo termine, limitare la proliferazione dei formati </w:t>
      </w:r>
      <w:r w:rsidR="00B628AD" w:rsidRPr="0025710B">
        <w:rPr>
          <w:sz w:val="24"/>
          <w:szCs w:val="24"/>
        </w:rPr>
        <w:t xml:space="preserve">attualmente </w:t>
      </w:r>
      <w:r w:rsidR="005F172B" w:rsidRPr="0025710B">
        <w:rPr>
          <w:sz w:val="24"/>
          <w:szCs w:val="24"/>
        </w:rPr>
        <w:t>presenti sul mercato, riconoscendo quel</w:t>
      </w:r>
      <w:r w:rsidRPr="0025710B">
        <w:rPr>
          <w:sz w:val="24"/>
          <w:szCs w:val="24"/>
        </w:rPr>
        <w:t xml:space="preserve">li maggiormente utilizzati. </w:t>
      </w:r>
    </w:p>
    <w:p w:rsidR="00C712BA" w:rsidRDefault="00C712BA" w:rsidP="00492EDE">
      <w:pPr>
        <w:spacing w:before="120" w:after="120"/>
        <w:jc w:val="both"/>
        <w:rPr>
          <w:sz w:val="24"/>
          <w:szCs w:val="24"/>
        </w:rPr>
      </w:pPr>
    </w:p>
    <w:p w:rsidR="000C0E5B" w:rsidRPr="000C0E5B" w:rsidRDefault="000C0E5B" w:rsidP="000C0E5B">
      <w:pPr>
        <w:pStyle w:val="Paragrafoelenco"/>
        <w:numPr>
          <w:ilvl w:val="0"/>
          <w:numId w:val="6"/>
        </w:numPr>
        <w:spacing w:before="120" w:after="120"/>
        <w:jc w:val="both"/>
        <w:rPr>
          <w:b/>
          <w:i/>
          <w:sz w:val="24"/>
          <w:szCs w:val="24"/>
        </w:rPr>
      </w:pPr>
      <w:r w:rsidRPr="000C0E5B">
        <w:rPr>
          <w:b/>
          <w:i/>
          <w:sz w:val="24"/>
          <w:szCs w:val="24"/>
        </w:rPr>
        <w:lastRenderedPageBreak/>
        <w:t xml:space="preserve">Considerazioni </w:t>
      </w:r>
      <w:r w:rsidR="004E29B0">
        <w:rPr>
          <w:b/>
          <w:i/>
          <w:sz w:val="24"/>
          <w:szCs w:val="24"/>
        </w:rPr>
        <w:t>generali</w:t>
      </w:r>
    </w:p>
    <w:p w:rsidR="00B628AD" w:rsidRPr="0025710B" w:rsidRDefault="007D6C5B" w:rsidP="00492EDE">
      <w:pPr>
        <w:spacing w:before="120" w:after="120"/>
        <w:jc w:val="both"/>
        <w:rPr>
          <w:sz w:val="24"/>
          <w:szCs w:val="24"/>
        </w:rPr>
      </w:pPr>
      <w:r w:rsidRPr="0025710B">
        <w:rPr>
          <w:sz w:val="24"/>
          <w:szCs w:val="24"/>
        </w:rPr>
        <w:t>Tali</w:t>
      </w:r>
      <w:r w:rsidR="005F172B" w:rsidRPr="0025710B">
        <w:rPr>
          <w:sz w:val="24"/>
          <w:szCs w:val="24"/>
        </w:rPr>
        <w:t xml:space="preserve"> obiettivi risultano </w:t>
      </w:r>
      <w:r w:rsidRPr="0025710B">
        <w:rPr>
          <w:sz w:val="24"/>
          <w:szCs w:val="24"/>
        </w:rPr>
        <w:t xml:space="preserve">senz’altro </w:t>
      </w:r>
      <w:r w:rsidR="005F172B" w:rsidRPr="0025710B">
        <w:rPr>
          <w:sz w:val="24"/>
          <w:szCs w:val="24"/>
        </w:rPr>
        <w:t>condivisibili</w:t>
      </w:r>
      <w:r w:rsidR="00B628AD" w:rsidRPr="0025710B">
        <w:rPr>
          <w:sz w:val="24"/>
          <w:szCs w:val="24"/>
        </w:rPr>
        <w:t xml:space="preserve"> per le seguenti ragioni:</w:t>
      </w:r>
    </w:p>
    <w:p w:rsidR="00474BFB" w:rsidRPr="0025710B" w:rsidRDefault="004B3CBA" w:rsidP="00492EDE">
      <w:pPr>
        <w:pStyle w:val="Paragrafoelenco"/>
        <w:numPr>
          <w:ilvl w:val="0"/>
          <w:numId w:val="3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EF67C9">
        <w:rPr>
          <w:color w:val="000000" w:themeColor="text1"/>
          <w:sz w:val="24"/>
          <w:szCs w:val="24"/>
        </w:rPr>
        <w:t>posta la necessità di armonizzare</w:t>
      </w:r>
      <w:r w:rsidR="005F172B" w:rsidRPr="00EF67C9">
        <w:rPr>
          <w:color w:val="000000" w:themeColor="text1"/>
          <w:sz w:val="24"/>
          <w:szCs w:val="24"/>
        </w:rPr>
        <w:t xml:space="preserve"> </w:t>
      </w:r>
      <w:r w:rsidR="00B628AD" w:rsidRPr="00EF67C9">
        <w:rPr>
          <w:color w:val="000000" w:themeColor="text1"/>
          <w:sz w:val="24"/>
          <w:szCs w:val="24"/>
        </w:rPr>
        <w:t>sia</w:t>
      </w:r>
      <w:r w:rsidRPr="00EF67C9">
        <w:rPr>
          <w:color w:val="000000" w:themeColor="text1"/>
          <w:sz w:val="24"/>
          <w:szCs w:val="24"/>
        </w:rPr>
        <w:t xml:space="preserve"> sotto il profilo semantico che sintattico </w:t>
      </w:r>
      <w:r w:rsidR="00AE09E1">
        <w:rPr>
          <w:color w:val="000000" w:themeColor="text1"/>
          <w:sz w:val="24"/>
          <w:szCs w:val="24"/>
        </w:rPr>
        <w:t>la</w:t>
      </w:r>
      <w:r w:rsidR="00B628AD" w:rsidRPr="00EF67C9">
        <w:rPr>
          <w:color w:val="000000" w:themeColor="text1"/>
          <w:sz w:val="24"/>
          <w:szCs w:val="24"/>
        </w:rPr>
        <w:t xml:space="preserve"> fattura elettronica </w:t>
      </w:r>
      <w:r w:rsidR="005F172B" w:rsidRPr="00EF67C9">
        <w:rPr>
          <w:color w:val="000000" w:themeColor="text1"/>
          <w:sz w:val="24"/>
          <w:szCs w:val="24"/>
        </w:rPr>
        <w:t xml:space="preserve">a beneficio della diffusione della </w:t>
      </w:r>
      <w:r w:rsidRPr="00EF67C9">
        <w:rPr>
          <w:color w:val="000000" w:themeColor="text1"/>
          <w:sz w:val="24"/>
          <w:szCs w:val="24"/>
        </w:rPr>
        <w:t xml:space="preserve">stessa e di </w:t>
      </w:r>
      <w:r w:rsidR="004E29B0">
        <w:rPr>
          <w:color w:val="000000" w:themeColor="text1"/>
          <w:sz w:val="24"/>
          <w:szCs w:val="24"/>
        </w:rPr>
        <w:t>favorire</w:t>
      </w:r>
      <w:r w:rsidRPr="00EF67C9">
        <w:rPr>
          <w:color w:val="000000" w:themeColor="text1"/>
          <w:sz w:val="24"/>
          <w:szCs w:val="24"/>
        </w:rPr>
        <w:t xml:space="preserve"> l’</w:t>
      </w:r>
      <w:r w:rsidR="00B628AD" w:rsidRPr="00EF67C9">
        <w:rPr>
          <w:color w:val="000000" w:themeColor="text1"/>
          <w:sz w:val="24"/>
          <w:szCs w:val="24"/>
        </w:rPr>
        <w:t xml:space="preserve">interoperabilità e </w:t>
      </w:r>
      <w:r w:rsidRPr="00EF67C9">
        <w:rPr>
          <w:color w:val="000000" w:themeColor="text1"/>
          <w:sz w:val="24"/>
          <w:szCs w:val="24"/>
        </w:rPr>
        <w:t>l’</w:t>
      </w:r>
      <w:r w:rsidR="00B628AD" w:rsidRPr="00EF67C9">
        <w:rPr>
          <w:color w:val="000000" w:themeColor="text1"/>
          <w:sz w:val="24"/>
          <w:szCs w:val="24"/>
        </w:rPr>
        <w:t>automazione dei sistemi operativi</w:t>
      </w:r>
      <w:r w:rsidR="005F172B" w:rsidRPr="00EF67C9">
        <w:rPr>
          <w:color w:val="000000" w:themeColor="text1"/>
          <w:sz w:val="24"/>
          <w:szCs w:val="24"/>
        </w:rPr>
        <w:t xml:space="preserve">, appare </w:t>
      </w:r>
      <w:r w:rsidR="00B628AD" w:rsidRPr="00EF67C9">
        <w:rPr>
          <w:color w:val="000000" w:themeColor="text1"/>
          <w:sz w:val="24"/>
          <w:szCs w:val="24"/>
        </w:rPr>
        <w:t xml:space="preserve">al contempo </w:t>
      </w:r>
      <w:r w:rsidR="005F172B" w:rsidRPr="00EF67C9">
        <w:rPr>
          <w:color w:val="000000" w:themeColor="text1"/>
          <w:sz w:val="24"/>
          <w:szCs w:val="24"/>
        </w:rPr>
        <w:t xml:space="preserve">necessario tutelare gli investimenti </w:t>
      </w:r>
      <w:r w:rsidR="00774F14" w:rsidRPr="00EF67C9">
        <w:rPr>
          <w:color w:val="000000" w:themeColor="text1"/>
          <w:sz w:val="24"/>
          <w:szCs w:val="24"/>
        </w:rPr>
        <w:t xml:space="preserve">“sintattici” </w:t>
      </w:r>
      <w:r w:rsidR="005F172B" w:rsidRPr="00EF67C9">
        <w:rPr>
          <w:color w:val="000000" w:themeColor="text1"/>
          <w:sz w:val="24"/>
          <w:szCs w:val="24"/>
        </w:rPr>
        <w:t xml:space="preserve">già </w:t>
      </w:r>
      <w:r w:rsidR="002941D2" w:rsidRPr="00EF67C9">
        <w:rPr>
          <w:color w:val="000000" w:themeColor="text1"/>
          <w:sz w:val="24"/>
          <w:szCs w:val="24"/>
        </w:rPr>
        <w:t xml:space="preserve">effettuati </w:t>
      </w:r>
      <w:r w:rsidR="00B628AD" w:rsidRPr="00EF67C9">
        <w:rPr>
          <w:color w:val="000000" w:themeColor="text1"/>
          <w:sz w:val="24"/>
          <w:szCs w:val="24"/>
        </w:rPr>
        <w:t xml:space="preserve">in tal senso </w:t>
      </w:r>
      <w:r w:rsidR="002941D2" w:rsidRPr="00EF67C9">
        <w:rPr>
          <w:color w:val="000000" w:themeColor="text1"/>
          <w:sz w:val="24"/>
          <w:szCs w:val="24"/>
        </w:rPr>
        <w:t>dagli operatori</w:t>
      </w:r>
      <w:r w:rsidR="00956D96" w:rsidRPr="00EF67C9">
        <w:rPr>
          <w:color w:val="000000" w:themeColor="text1"/>
          <w:sz w:val="24"/>
          <w:szCs w:val="24"/>
        </w:rPr>
        <w:t xml:space="preserve"> economici.</w:t>
      </w:r>
      <w:r w:rsidR="00956D96" w:rsidRPr="004B3CBA">
        <w:rPr>
          <w:sz w:val="24"/>
          <w:szCs w:val="24"/>
        </w:rPr>
        <w:t xml:space="preserve"> In questa ottica, </w:t>
      </w:r>
      <w:r w:rsidR="00B628AD" w:rsidRPr="004B3CBA">
        <w:rPr>
          <w:sz w:val="24"/>
          <w:szCs w:val="24"/>
        </w:rPr>
        <w:t>si condivide la</w:t>
      </w:r>
      <w:r w:rsidR="00B628AD" w:rsidRPr="0025710B">
        <w:rPr>
          <w:sz w:val="24"/>
          <w:szCs w:val="24"/>
        </w:rPr>
        <w:t xml:space="preserve"> priorità riservata dalla Commissione allo standard comune semantico</w:t>
      </w:r>
      <w:r w:rsidR="00774F14" w:rsidRPr="0025710B">
        <w:rPr>
          <w:sz w:val="24"/>
          <w:szCs w:val="24"/>
        </w:rPr>
        <w:t>, da cui dovrebbe derivare una spontanea convergenza di mercato verso i formati più in linea con lo standard semantico individuato</w:t>
      </w:r>
      <w:r w:rsidR="00474BFB" w:rsidRPr="0025710B">
        <w:rPr>
          <w:sz w:val="24"/>
          <w:szCs w:val="24"/>
        </w:rPr>
        <w:t>;</w:t>
      </w:r>
    </w:p>
    <w:p w:rsidR="00474BFB" w:rsidRPr="0025710B" w:rsidRDefault="00474BFB" w:rsidP="00492EDE">
      <w:pPr>
        <w:pStyle w:val="Paragrafoelenco"/>
        <w:numPr>
          <w:ilvl w:val="0"/>
          <w:numId w:val="3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25710B">
        <w:rPr>
          <w:sz w:val="24"/>
          <w:szCs w:val="24"/>
        </w:rPr>
        <w:t>c</w:t>
      </w:r>
      <w:r w:rsidR="00B628AD" w:rsidRPr="0025710B">
        <w:rPr>
          <w:sz w:val="24"/>
          <w:szCs w:val="24"/>
        </w:rPr>
        <w:t>on riferimento all’armonizzazione sintattica</w:t>
      </w:r>
      <w:r w:rsidR="00956D96" w:rsidRPr="0025710B">
        <w:rPr>
          <w:sz w:val="24"/>
          <w:szCs w:val="24"/>
        </w:rPr>
        <w:t>, si ritiene appropriato</w:t>
      </w:r>
      <w:r w:rsidR="004B3CBA">
        <w:rPr>
          <w:sz w:val="24"/>
          <w:szCs w:val="24"/>
        </w:rPr>
        <w:t xml:space="preserve"> che</w:t>
      </w:r>
      <w:r w:rsidR="00956D96" w:rsidRPr="0025710B">
        <w:rPr>
          <w:sz w:val="24"/>
          <w:szCs w:val="24"/>
        </w:rPr>
        <w:t xml:space="preserve"> sia il CEN, in qualità di organ</w:t>
      </w:r>
      <w:r w:rsidR="004C3CA9" w:rsidRPr="0025710B">
        <w:rPr>
          <w:sz w:val="24"/>
          <w:szCs w:val="24"/>
        </w:rPr>
        <w:t xml:space="preserve">o tecnico di standardizzazione </w:t>
      </w:r>
      <w:r w:rsidR="00956D96" w:rsidRPr="0025710B">
        <w:rPr>
          <w:sz w:val="24"/>
          <w:szCs w:val="24"/>
        </w:rPr>
        <w:t xml:space="preserve">in cui sono rappresentati </w:t>
      </w:r>
      <w:r w:rsidR="00774F14" w:rsidRPr="0025710B">
        <w:rPr>
          <w:sz w:val="24"/>
          <w:szCs w:val="24"/>
        </w:rPr>
        <w:t>i soggetti</w:t>
      </w:r>
      <w:r w:rsidR="00956D96" w:rsidRPr="0025710B">
        <w:rPr>
          <w:sz w:val="24"/>
          <w:szCs w:val="24"/>
        </w:rPr>
        <w:t xml:space="preserve"> coinvolti, a fornire </w:t>
      </w:r>
      <w:r w:rsidR="00774F14" w:rsidRPr="0025710B">
        <w:rPr>
          <w:sz w:val="24"/>
          <w:szCs w:val="24"/>
        </w:rPr>
        <w:t xml:space="preserve">sulla base di adeguate analisi empiriche </w:t>
      </w:r>
      <w:r w:rsidR="00956D96" w:rsidRPr="0025710B">
        <w:rPr>
          <w:sz w:val="24"/>
          <w:szCs w:val="24"/>
        </w:rPr>
        <w:t>indicazioni</w:t>
      </w:r>
      <w:r w:rsidRPr="0025710B">
        <w:rPr>
          <w:sz w:val="24"/>
          <w:szCs w:val="24"/>
        </w:rPr>
        <w:t xml:space="preserve"> </w:t>
      </w:r>
      <w:r w:rsidR="004C3CA9" w:rsidRPr="0025710B">
        <w:rPr>
          <w:sz w:val="24"/>
          <w:szCs w:val="24"/>
        </w:rPr>
        <w:t xml:space="preserve">circa i formati </w:t>
      </w:r>
      <w:r w:rsidR="009D5560" w:rsidRPr="0025710B">
        <w:rPr>
          <w:sz w:val="24"/>
          <w:szCs w:val="24"/>
        </w:rPr>
        <w:t>utilizzabili</w:t>
      </w:r>
      <w:r w:rsidRPr="0025710B">
        <w:rPr>
          <w:sz w:val="24"/>
          <w:szCs w:val="24"/>
        </w:rPr>
        <w:t>;</w:t>
      </w:r>
    </w:p>
    <w:p w:rsidR="005F172B" w:rsidRPr="0025710B" w:rsidRDefault="00474BFB" w:rsidP="00492EDE">
      <w:pPr>
        <w:pStyle w:val="Paragrafoelenco"/>
        <w:numPr>
          <w:ilvl w:val="0"/>
          <w:numId w:val="3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25710B">
        <w:rPr>
          <w:sz w:val="24"/>
          <w:szCs w:val="24"/>
        </w:rPr>
        <w:t>a</w:t>
      </w:r>
      <w:r w:rsidR="004C3CA9" w:rsidRPr="0025710B">
        <w:rPr>
          <w:sz w:val="24"/>
          <w:szCs w:val="24"/>
        </w:rPr>
        <w:t xml:space="preserve">ppare, infine, </w:t>
      </w:r>
      <w:r w:rsidR="00956D96" w:rsidRPr="0025710B">
        <w:rPr>
          <w:sz w:val="24"/>
          <w:szCs w:val="24"/>
        </w:rPr>
        <w:t xml:space="preserve">condivisibile che </w:t>
      </w:r>
      <w:r w:rsidR="004C3CA9" w:rsidRPr="0025710B">
        <w:rPr>
          <w:sz w:val="24"/>
          <w:szCs w:val="24"/>
        </w:rPr>
        <w:t>non possano essere rifiutate le fatture elettroniche emesse secondo</w:t>
      </w:r>
      <w:r w:rsidR="00C7430E" w:rsidRPr="0025710B">
        <w:rPr>
          <w:sz w:val="24"/>
          <w:szCs w:val="24"/>
        </w:rPr>
        <w:t xml:space="preserve"> i f</w:t>
      </w:r>
      <w:r w:rsidR="004C3CA9" w:rsidRPr="0025710B">
        <w:rPr>
          <w:sz w:val="24"/>
          <w:szCs w:val="24"/>
        </w:rPr>
        <w:t>ormati indicati dal CEN</w:t>
      </w:r>
      <w:r w:rsidR="009D5560" w:rsidRPr="0025710B">
        <w:rPr>
          <w:sz w:val="24"/>
          <w:szCs w:val="24"/>
        </w:rPr>
        <w:t>,</w:t>
      </w:r>
      <w:r w:rsidR="004C3CA9" w:rsidRPr="0025710B">
        <w:rPr>
          <w:sz w:val="24"/>
          <w:szCs w:val="24"/>
        </w:rPr>
        <w:t xml:space="preserve"> che presumibilmente saranno i più diffusi </w:t>
      </w:r>
      <w:r w:rsidR="00CB4B3E" w:rsidRPr="0025710B">
        <w:rPr>
          <w:sz w:val="24"/>
          <w:szCs w:val="24"/>
        </w:rPr>
        <w:t>e funzionali,</w:t>
      </w:r>
      <w:r w:rsidR="00C7430E" w:rsidRPr="0025710B">
        <w:rPr>
          <w:sz w:val="24"/>
          <w:szCs w:val="24"/>
        </w:rPr>
        <w:t xml:space="preserve"> tutelando </w:t>
      </w:r>
      <w:r w:rsidR="004C3CA9" w:rsidRPr="0025710B">
        <w:rPr>
          <w:sz w:val="24"/>
          <w:szCs w:val="24"/>
        </w:rPr>
        <w:t xml:space="preserve">così </w:t>
      </w:r>
      <w:r w:rsidR="00C7430E" w:rsidRPr="0025710B">
        <w:rPr>
          <w:sz w:val="24"/>
          <w:szCs w:val="24"/>
        </w:rPr>
        <w:t xml:space="preserve">coloro i quali li </w:t>
      </w:r>
      <w:r w:rsidR="00956D96" w:rsidRPr="0025710B">
        <w:rPr>
          <w:sz w:val="24"/>
          <w:szCs w:val="24"/>
        </w:rPr>
        <w:t xml:space="preserve">abbiano </w:t>
      </w:r>
      <w:r w:rsidR="004C3CA9" w:rsidRPr="0025710B">
        <w:rPr>
          <w:sz w:val="24"/>
          <w:szCs w:val="24"/>
        </w:rPr>
        <w:t>già</w:t>
      </w:r>
      <w:r w:rsidR="00C7430E" w:rsidRPr="0025710B">
        <w:rPr>
          <w:sz w:val="24"/>
          <w:szCs w:val="24"/>
        </w:rPr>
        <w:t xml:space="preserve"> adottati</w:t>
      </w:r>
      <w:r w:rsidRPr="0025710B">
        <w:rPr>
          <w:sz w:val="24"/>
          <w:szCs w:val="24"/>
        </w:rPr>
        <w:t xml:space="preserve">. </w:t>
      </w:r>
      <w:r w:rsidR="00B064F5" w:rsidRPr="0025710B">
        <w:rPr>
          <w:sz w:val="24"/>
          <w:szCs w:val="24"/>
        </w:rPr>
        <w:t>In seguito, i</w:t>
      </w:r>
      <w:r w:rsidRPr="0025710B">
        <w:rPr>
          <w:sz w:val="24"/>
          <w:szCs w:val="24"/>
        </w:rPr>
        <w:t>n un’</w:t>
      </w:r>
      <w:r w:rsidR="00956D96" w:rsidRPr="0025710B">
        <w:rPr>
          <w:sz w:val="24"/>
          <w:szCs w:val="24"/>
        </w:rPr>
        <w:t xml:space="preserve">ottica di </w:t>
      </w:r>
      <w:proofErr w:type="spellStart"/>
      <w:r w:rsidR="00956D96" w:rsidRPr="0025710B">
        <w:rPr>
          <w:sz w:val="24"/>
          <w:szCs w:val="24"/>
        </w:rPr>
        <w:t>medio-lungo</w:t>
      </w:r>
      <w:proofErr w:type="spellEnd"/>
      <w:r w:rsidR="00956D96" w:rsidRPr="0025710B">
        <w:rPr>
          <w:sz w:val="24"/>
          <w:szCs w:val="24"/>
        </w:rPr>
        <w:t xml:space="preserve"> periodo</w:t>
      </w:r>
      <w:r w:rsidR="00C7430E" w:rsidRPr="0025710B">
        <w:rPr>
          <w:sz w:val="24"/>
          <w:szCs w:val="24"/>
        </w:rPr>
        <w:t>,</w:t>
      </w:r>
      <w:r w:rsidR="00956D96" w:rsidRPr="0025710B">
        <w:rPr>
          <w:sz w:val="24"/>
          <w:szCs w:val="24"/>
        </w:rPr>
        <w:t xml:space="preserve"> è auspicabile che sia il mercato a orientare la convergenza verso un unico formato.</w:t>
      </w:r>
    </w:p>
    <w:p w:rsidR="000C0E5B" w:rsidRPr="000C0E5B" w:rsidRDefault="000C0E5B" w:rsidP="000C0E5B">
      <w:pPr>
        <w:pStyle w:val="Paragrafoelenco"/>
        <w:numPr>
          <w:ilvl w:val="0"/>
          <w:numId w:val="6"/>
        </w:numPr>
        <w:spacing w:before="120" w:after="120"/>
        <w:jc w:val="both"/>
        <w:rPr>
          <w:b/>
          <w:i/>
          <w:sz w:val="24"/>
          <w:szCs w:val="24"/>
        </w:rPr>
      </w:pPr>
      <w:r w:rsidRPr="000C0E5B">
        <w:rPr>
          <w:b/>
          <w:i/>
          <w:sz w:val="24"/>
          <w:szCs w:val="24"/>
        </w:rPr>
        <w:t>Posizione delle PA</w:t>
      </w:r>
      <w:r>
        <w:rPr>
          <w:b/>
          <w:i/>
          <w:sz w:val="24"/>
          <w:szCs w:val="24"/>
        </w:rPr>
        <w:t xml:space="preserve"> e osservazioni</w:t>
      </w:r>
    </w:p>
    <w:p w:rsidR="001A647F" w:rsidRPr="000C0E5B" w:rsidRDefault="00474BFB" w:rsidP="000C0E5B">
      <w:pPr>
        <w:spacing w:before="120" w:after="120"/>
        <w:jc w:val="both"/>
        <w:rPr>
          <w:sz w:val="24"/>
          <w:szCs w:val="24"/>
        </w:rPr>
      </w:pPr>
      <w:r w:rsidRPr="000C0E5B">
        <w:rPr>
          <w:sz w:val="24"/>
          <w:szCs w:val="24"/>
        </w:rPr>
        <w:t>Le misure previste dalla direttiva in termi</w:t>
      </w:r>
      <w:r w:rsidR="004E29B0">
        <w:rPr>
          <w:sz w:val="24"/>
          <w:szCs w:val="24"/>
        </w:rPr>
        <w:t>ni di armonizzazione sintattica, e</w:t>
      </w:r>
      <w:r w:rsidRPr="000C0E5B">
        <w:rPr>
          <w:sz w:val="24"/>
          <w:szCs w:val="24"/>
        </w:rPr>
        <w:t xml:space="preserve"> in particolare </w:t>
      </w:r>
      <w:r w:rsidR="00EB70DD">
        <w:rPr>
          <w:sz w:val="24"/>
          <w:szCs w:val="24"/>
        </w:rPr>
        <w:t xml:space="preserve">la disposizione che chiede </w:t>
      </w:r>
      <w:r w:rsidR="004E29B0">
        <w:rPr>
          <w:sz w:val="24"/>
          <w:szCs w:val="24"/>
        </w:rPr>
        <w:t>ai soggetti aggiudicatori</w:t>
      </w:r>
      <w:r w:rsidRPr="000C0E5B">
        <w:rPr>
          <w:sz w:val="24"/>
          <w:szCs w:val="24"/>
        </w:rPr>
        <w:t xml:space="preserve"> di accettare le fatture</w:t>
      </w:r>
      <w:r w:rsidR="00DF0D82" w:rsidRPr="000C0E5B">
        <w:rPr>
          <w:sz w:val="24"/>
          <w:szCs w:val="24"/>
        </w:rPr>
        <w:t xml:space="preserve"> emesse in tutti i formati individuati </w:t>
      </w:r>
      <w:r w:rsidR="000C0E5B">
        <w:rPr>
          <w:sz w:val="24"/>
          <w:szCs w:val="24"/>
        </w:rPr>
        <w:t>dal CEN</w:t>
      </w:r>
      <w:r w:rsidR="004E29B0">
        <w:rPr>
          <w:sz w:val="24"/>
          <w:szCs w:val="24"/>
        </w:rPr>
        <w:t>,</w:t>
      </w:r>
      <w:r w:rsidR="000C0E5B">
        <w:rPr>
          <w:sz w:val="24"/>
          <w:szCs w:val="24"/>
        </w:rPr>
        <w:t xml:space="preserve"> non sono condivise da alcune delle</w:t>
      </w:r>
      <w:r w:rsidR="00DF0D82" w:rsidRPr="000C0E5B">
        <w:rPr>
          <w:sz w:val="24"/>
          <w:szCs w:val="24"/>
        </w:rPr>
        <w:t xml:space="preserve"> PA che partecipano al Tavolo nazionale coordinato dal Dipartimento Politiche </w:t>
      </w:r>
      <w:r w:rsidR="004E29B0">
        <w:rPr>
          <w:sz w:val="24"/>
          <w:szCs w:val="24"/>
        </w:rPr>
        <w:t>europee</w:t>
      </w:r>
      <w:r w:rsidR="00C7430E" w:rsidRPr="000C0E5B">
        <w:rPr>
          <w:sz w:val="24"/>
          <w:szCs w:val="24"/>
        </w:rPr>
        <w:t xml:space="preserve">. L’obiezione è che questa norma </w:t>
      </w:r>
      <w:r w:rsidR="00DF0D82" w:rsidRPr="000C0E5B">
        <w:rPr>
          <w:sz w:val="24"/>
          <w:szCs w:val="24"/>
        </w:rPr>
        <w:t xml:space="preserve">graverebbe </w:t>
      </w:r>
      <w:r w:rsidR="00EB70DD">
        <w:rPr>
          <w:sz w:val="24"/>
          <w:szCs w:val="24"/>
        </w:rPr>
        <w:t>tali soggetti</w:t>
      </w:r>
      <w:r w:rsidR="00DF0D82" w:rsidRPr="000C0E5B">
        <w:rPr>
          <w:sz w:val="24"/>
          <w:szCs w:val="24"/>
        </w:rPr>
        <w:t xml:space="preserve"> degli oneri di transcodifica dei vari formati utilizzati dalle imprese</w:t>
      </w:r>
      <w:r w:rsidR="00385F77" w:rsidRPr="000C0E5B">
        <w:rPr>
          <w:sz w:val="24"/>
          <w:szCs w:val="24"/>
        </w:rPr>
        <w:t xml:space="preserve">. </w:t>
      </w:r>
      <w:r w:rsidR="00DF0D82" w:rsidRPr="000C0E5B">
        <w:rPr>
          <w:sz w:val="24"/>
          <w:szCs w:val="24"/>
        </w:rPr>
        <w:t xml:space="preserve">In proposito, si ricorda che l’Agenzia delle Entrate ha definito un formato proprietario per </w:t>
      </w:r>
      <w:r w:rsidR="00B064F5" w:rsidRPr="000C0E5B">
        <w:rPr>
          <w:sz w:val="24"/>
          <w:szCs w:val="24"/>
        </w:rPr>
        <w:t>lo</w:t>
      </w:r>
      <w:r w:rsidR="00DF0D82" w:rsidRPr="000C0E5B">
        <w:rPr>
          <w:sz w:val="24"/>
          <w:szCs w:val="24"/>
        </w:rPr>
        <w:t xml:space="preserve"> scambio obbligatorio di fatture elettroniche</w:t>
      </w:r>
      <w:r w:rsidR="00EB70DD">
        <w:rPr>
          <w:sz w:val="24"/>
          <w:szCs w:val="24"/>
        </w:rPr>
        <w:t xml:space="preserve"> tra PA e imprese</w:t>
      </w:r>
      <w:r w:rsidR="00CB4B3E" w:rsidRPr="000C0E5B">
        <w:rPr>
          <w:sz w:val="24"/>
          <w:szCs w:val="24"/>
        </w:rPr>
        <w:t>,</w:t>
      </w:r>
      <w:r w:rsidR="00DF0D82" w:rsidRPr="000C0E5B">
        <w:rPr>
          <w:sz w:val="24"/>
          <w:szCs w:val="24"/>
        </w:rPr>
        <w:t xml:space="preserve"> </w:t>
      </w:r>
      <w:r w:rsidR="00B064F5" w:rsidRPr="000C0E5B">
        <w:rPr>
          <w:sz w:val="24"/>
          <w:szCs w:val="24"/>
        </w:rPr>
        <w:t xml:space="preserve">che a breve diverrà </w:t>
      </w:r>
      <w:r w:rsidR="004E29B0">
        <w:rPr>
          <w:sz w:val="24"/>
          <w:szCs w:val="24"/>
        </w:rPr>
        <w:t>operativo</w:t>
      </w:r>
      <w:r w:rsidR="00B064F5" w:rsidRPr="000C0E5B">
        <w:rPr>
          <w:sz w:val="24"/>
          <w:szCs w:val="24"/>
        </w:rPr>
        <w:t xml:space="preserve"> su scala nazionale.</w:t>
      </w:r>
      <w:r w:rsidR="001A647F" w:rsidRPr="000C0E5B">
        <w:rPr>
          <w:sz w:val="24"/>
          <w:szCs w:val="24"/>
        </w:rPr>
        <w:t xml:space="preserve"> </w:t>
      </w:r>
    </w:p>
    <w:p w:rsidR="004E29B0" w:rsidRDefault="00C7430E" w:rsidP="00492EDE">
      <w:pPr>
        <w:spacing w:before="120" w:after="120"/>
        <w:jc w:val="both"/>
        <w:rPr>
          <w:color w:val="000000" w:themeColor="text1"/>
          <w:sz w:val="24"/>
          <w:szCs w:val="24"/>
        </w:rPr>
      </w:pPr>
      <w:r w:rsidRPr="00EF67C9">
        <w:rPr>
          <w:color w:val="000000" w:themeColor="text1"/>
          <w:sz w:val="24"/>
          <w:szCs w:val="24"/>
        </w:rPr>
        <w:t>È stata, quin</w:t>
      </w:r>
      <w:r w:rsidR="000C0E5B" w:rsidRPr="00EF67C9">
        <w:rPr>
          <w:color w:val="000000" w:themeColor="text1"/>
          <w:sz w:val="24"/>
          <w:szCs w:val="24"/>
        </w:rPr>
        <w:t>di, proposta</w:t>
      </w:r>
      <w:r w:rsidR="00B064F5" w:rsidRPr="00EF67C9">
        <w:rPr>
          <w:color w:val="000000" w:themeColor="text1"/>
          <w:sz w:val="24"/>
          <w:szCs w:val="24"/>
        </w:rPr>
        <w:t xml:space="preserve"> </w:t>
      </w:r>
      <w:r w:rsidRPr="00EF67C9">
        <w:rPr>
          <w:color w:val="000000" w:themeColor="text1"/>
          <w:sz w:val="24"/>
          <w:szCs w:val="24"/>
        </w:rPr>
        <w:t>una</w:t>
      </w:r>
      <w:r w:rsidR="0006285F" w:rsidRPr="00EF67C9">
        <w:rPr>
          <w:color w:val="000000" w:themeColor="text1"/>
          <w:sz w:val="24"/>
          <w:szCs w:val="24"/>
        </w:rPr>
        <w:t xml:space="preserve"> modifica </w:t>
      </w:r>
      <w:r w:rsidRPr="00EF67C9">
        <w:rPr>
          <w:color w:val="000000" w:themeColor="text1"/>
          <w:sz w:val="24"/>
          <w:szCs w:val="24"/>
        </w:rPr>
        <w:t xml:space="preserve">al testo della direttiva, </w:t>
      </w:r>
      <w:r w:rsidR="0006285F" w:rsidRPr="00EF67C9">
        <w:rPr>
          <w:color w:val="000000" w:themeColor="text1"/>
          <w:sz w:val="24"/>
          <w:szCs w:val="24"/>
        </w:rPr>
        <w:t xml:space="preserve">che </w:t>
      </w:r>
      <w:r w:rsidR="00B064F5" w:rsidRPr="00EF67C9">
        <w:rPr>
          <w:color w:val="000000" w:themeColor="text1"/>
          <w:sz w:val="24"/>
          <w:szCs w:val="24"/>
        </w:rPr>
        <w:t>consentirebbe</w:t>
      </w:r>
      <w:r w:rsidR="000C0E5B" w:rsidRPr="00EF67C9">
        <w:rPr>
          <w:color w:val="000000" w:themeColor="text1"/>
          <w:sz w:val="24"/>
          <w:szCs w:val="24"/>
        </w:rPr>
        <w:t xml:space="preserve"> ad uno Stato membro </w:t>
      </w:r>
      <w:r w:rsidR="0006285F" w:rsidRPr="00EF67C9">
        <w:rPr>
          <w:color w:val="000000" w:themeColor="text1"/>
          <w:sz w:val="24"/>
          <w:szCs w:val="24"/>
        </w:rPr>
        <w:t xml:space="preserve">di adottare </w:t>
      </w:r>
      <w:r w:rsidR="007D2BDC" w:rsidRPr="00EF67C9">
        <w:rPr>
          <w:color w:val="000000" w:themeColor="text1"/>
          <w:sz w:val="24"/>
          <w:szCs w:val="24"/>
        </w:rPr>
        <w:t xml:space="preserve">per il mercato domestico </w:t>
      </w:r>
      <w:r w:rsidR="0006285F" w:rsidRPr="00EF67C9">
        <w:rPr>
          <w:color w:val="000000" w:themeColor="text1"/>
          <w:sz w:val="24"/>
          <w:szCs w:val="24"/>
        </w:rPr>
        <w:t xml:space="preserve">uno o più formati di </w:t>
      </w:r>
      <w:r w:rsidR="00B064F5" w:rsidRPr="00EF67C9">
        <w:rPr>
          <w:color w:val="000000" w:themeColor="text1"/>
          <w:sz w:val="24"/>
          <w:szCs w:val="24"/>
        </w:rPr>
        <w:t>fattura elettronica</w:t>
      </w:r>
      <w:r w:rsidR="0006285F" w:rsidRPr="00EF67C9">
        <w:rPr>
          <w:color w:val="000000" w:themeColor="text1"/>
          <w:sz w:val="24"/>
          <w:szCs w:val="24"/>
        </w:rPr>
        <w:t xml:space="preserve"> tra quelli </w:t>
      </w:r>
      <w:r w:rsidR="007D2BDC" w:rsidRPr="00EF67C9">
        <w:rPr>
          <w:color w:val="000000" w:themeColor="text1"/>
          <w:sz w:val="24"/>
          <w:szCs w:val="24"/>
        </w:rPr>
        <w:t xml:space="preserve">individuati dal CEN e </w:t>
      </w:r>
      <w:r w:rsidR="0006285F" w:rsidRPr="00EF67C9">
        <w:rPr>
          <w:color w:val="000000" w:themeColor="text1"/>
          <w:sz w:val="24"/>
          <w:szCs w:val="24"/>
        </w:rPr>
        <w:t>approvati dalla Commissione</w:t>
      </w:r>
      <w:r w:rsidR="00EB70DD" w:rsidRPr="00EF67C9">
        <w:rPr>
          <w:color w:val="000000" w:themeColor="text1"/>
          <w:sz w:val="24"/>
          <w:szCs w:val="24"/>
        </w:rPr>
        <w:t>. In questo modo, sarebbe</w:t>
      </w:r>
      <w:r w:rsidR="004B3CBA" w:rsidRPr="00EF67C9">
        <w:rPr>
          <w:color w:val="000000" w:themeColor="text1"/>
          <w:sz w:val="24"/>
          <w:szCs w:val="24"/>
        </w:rPr>
        <w:t xml:space="preserve"> consent</w:t>
      </w:r>
      <w:r w:rsidR="00EF67C9" w:rsidRPr="00EF67C9">
        <w:rPr>
          <w:color w:val="000000" w:themeColor="text1"/>
          <w:sz w:val="24"/>
          <w:szCs w:val="24"/>
        </w:rPr>
        <w:t xml:space="preserve">ito a tutti </w:t>
      </w:r>
      <w:r w:rsidR="004E29B0">
        <w:rPr>
          <w:color w:val="000000" w:themeColor="text1"/>
          <w:sz w:val="24"/>
          <w:szCs w:val="24"/>
        </w:rPr>
        <w:t>i soggetti aggiudicatori</w:t>
      </w:r>
      <w:r w:rsidR="00EF67C9" w:rsidRPr="00EF67C9">
        <w:rPr>
          <w:color w:val="000000" w:themeColor="text1"/>
          <w:sz w:val="24"/>
          <w:szCs w:val="24"/>
        </w:rPr>
        <w:t xml:space="preserve"> destinatari della fattura</w:t>
      </w:r>
      <w:r w:rsidR="004B3CBA" w:rsidRPr="00EF67C9">
        <w:rPr>
          <w:color w:val="000000" w:themeColor="text1"/>
          <w:sz w:val="24"/>
          <w:szCs w:val="24"/>
        </w:rPr>
        <w:t xml:space="preserve"> di </w:t>
      </w:r>
      <w:r w:rsidR="001A647F" w:rsidRPr="00EF67C9">
        <w:rPr>
          <w:color w:val="000000" w:themeColor="text1"/>
          <w:sz w:val="24"/>
          <w:szCs w:val="24"/>
        </w:rPr>
        <w:t>rifiutare fatture elettroniche emesse secondo formati</w:t>
      </w:r>
      <w:r w:rsidR="004E29B0">
        <w:rPr>
          <w:color w:val="000000" w:themeColor="text1"/>
          <w:sz w:val="24"/>
          <w:szCs w:val="24"/>
        </w:rPr>
        <w:t xml:space="preserve"> diversi da quello adottato</w:t>
      </w:r>
      <w:r w:rsidR="004E29B0" w:rsidRPr="00EF67C9">
        <w:rPr>
          <w:color w:val="000000" w:themeColor="text1"/>
          <w:sz w:val="24"/>
          <w:szCs w:val="24"/>
        </w:rPr>
        <w:t xml:space="preserve"> dallo Stato membro di appartenenza</w:t>
      </w:r>
      <w:r w:rsidR="004E29B0">
        <w:rPr>
          <w:color w:val="000000" w:themeColor="text1"/>
          <w:sz w:val="24"/>
          <w:szCs w:val="24"/>
        </w:rPr>
        <w:t>, seppur ricompres</w:t>
      </w:r>
      <w:r w:rsidR="00C65A20">
        <w:rPr>
          <w:color w:val="000000" w:themeColor="text1"/>
          <w:sz w:val="24"/>
          <w:szCs w:val="24"/>
        </w:rPr>
        <w:t>i</w:t>
      </w:r>
      <w:r w:rsidR="004E29B0">
        <w:rPr>
          <w:color w:val="000000" w:themeColor="text1"/>
          <w:sz w:val="24"/>
          <w:szCs w:val="24"/>
        </w:rPr>
        <w:t xml:space="preserve"> nella lista del CEN.</w:t>
      </w:r>
    </w:p>
    <w:p w:rsidR="007D2BDC" w:rsidRPr="000C0E5B" w:rsidRDefault="00C7430E" w:rsidP="00492EDE">
      <w:pPr>
        <w:spacing w:before="120" w:after="120"/>
        <w:jc w:val="both"/>
        <w:rPr>
          <w:sz w:val="24"/>
          <w:szCs w:val="24"/>
          <w:u w:val="single"/>
        </w:rPr>
      </w:pPr>
      <w:r w:rsidRPr="000C0E5B">
        <w:rPr>
          <w:sz w:val="24"/>
          <w:szCs w:val="24"/>
          <w:u w:val="single"/>
        </w:rPr>
        <w:t xml:space="preserve">Tale </w:t>
      </w:r>
      <w:r w:rsidR="007D2BDC" w:rsidRPr="000C0E5B">
        <w:rPr>
          <w:sz w:val="24"/>
          <w:szCs w:val="24"/>
          <w:u w:val="single"/>
        </w:rPr>
        <w:t xml:space="preserve">proposta </w:t>
      </w:r>
      <w:r w:rsidRPr="000C0E5B">
        <w:rPr>
          <w:sz w:val="24"/>
          <w:szCs w:val="24"/>
          <w:u w:val="single"/>
        </w:rPr>
        <w:t>potrebbe</w:t>
      </w:r>
      <w:r w:rsidR="007D2BDC" w:rsidRPr="000C0E5B">
        <w:rPr>
          <w:sz w:val="24"/>
          <w:szCs w:val="24"/>
          <w:u w:val="single"/>
        </w:rPr>
        <w:t>,</w:t>
      </w:r>
      <w:r w:rsidR="0006285F" w:rsidRPr="000C0E5B">
        <w:rPr>
          <w:sz w:val="24"/>
          <w:szCs w:val="24"/>
          <w:u w:val="single"/>
        </w:rPr>
        <w:t xml:space="preserve"> tuttavia</w:t>
      </w:r>
      <w:r w:rsidR="007D2BDC" w:rsidRPr="000C0E5B">
        <w:rPr>
          <w:sz w:val="24"/>
          <w:szCs w:val="24"/>
          <w:u w:val="single"/>
        </w:rPr>
        <w:t>,</w:t>
      </w:r>
      <w:r w:rsidR="0006285F" w:rsidRPr="000C0E5B">
        <w:rPr>
          <w:sz w:val="24"/>
          <w:szCs w:val="24"/>
          <w:u w:val="single"/>
        </w:rPr>
        <w:t xml:space="preserve"> </w:t>
      </w:r>
      <w:r w:rsidRPr="000C0E5B">
        <w:rPr>
          <w:sz w:val="24"/>
          <w:szCs w:val="24"/>
          <w:u w:val="single"/>
        </w:rPr>
        <w:t xml:space="preserve">porre </w:t>
      </w:r>
      <w:r w:rsidR="00B064F5" w:rsidRPr="000C0E5B">
        <w:rPr>
          <w:sz w:val="24"/>
          <w:szCs w:val="24"/>
          <w:u w:val="single"/>
        </w:rPr>
        <w:t>diverse</w:t>
      </w:r>
      <w:r w:rsidR="0006285F" w:rsidRPr="000C0E5B">
        <w:rPr>
          <w:sz w:val="24"/>
          <w:szCs w:val="24"/>
          <w:u w:val="single"/>
        </w:rPr>
        <w:t xml:space="preserve"> criticità per le imprese </w:t>
      </w:r>
      <w:r w:rsidR="00B064F5" w:rsidRPr="000C0E5B">
        <w:rPr>
          <w:sz w:val="24"/>
          <w:szCs w:val="24"/>
          <w:u w:val="single"/>
        </w:rPr>
        <w:t>in quanto</w:t>
      </w:r>
      <w:r w:rsidR="00714070" w:rsidRPr="000C0E5B">
        <w:rPr>
          <w:sz w:val="24"/>
          <w:szCs w:val="24"/>
          <w:u w:val="single"/>
        </w:rPr>
        <w:t>:</w:t>
      </w:r>
    </w:p>
    <w:p w:rsidR="007D2BDC" w:rsidRPr="0025710B" w:rsidRDefault="007D6C5B" w:rsidP="00492EDE">
      <w:pPr>
        <w:pStyle w:val="Paragrafoelenco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25710B">
        <w:rPr>
          <w:sz w:val="24"/>
          <w:szCs w:val="24"/>
        </w:rPr>
        <w:t xml:space="preserve">di fatto </w:t>
      </w:r>
      <w:r w:rsidR="00CB4B3E" w:rsidRPr="0025710B">
        <w:rPr>
          <w:sz w:val="24"/>
          <w:szCs w:val="24"/>
        </w:rPr>
        <w:t>traslerebbe</w:t>
      </w:r>
      <w:r w:rsidR="0006285F" w:rsidRPr="0025710B">
        <w:rPr>
          <w:sz w:val="24"/>
          <w:szCs w:val="24"/>
        </w:rPr>
        <w:t xml:space="preserve"> </w:t>
      </w:r>
      <w:r w:rsidR="00CB4B3E" w:rsidRPr="0025710B">
        <w:rPr>
          <w:sz w:val="24"/>
          <w:szCs w:val="24"/>
        </w:rPr>
        <w:t>su</w:t>
      </w:r>
      <w:r w:rsidR="0006285F" w:rsidRPr="0025710B">
        <w:rPr>
          <w:sz w:val="24"/>
          <w:szCs w:val="24"/>
        </w:rPr>
        <w:t xml:space="preserve">gli operatori economici </w:t>
      </w:r>
      <w:r w:rsidR="00006778" w:rsidRPr="0025710B">
        <w:rPr>
          <w:sz w:val="24"/>
          <w:szCs w:val="24"/>
        </w:rPr>
        <w:t>l’onere di</w:t>
      </w:r>
      <w:r w:rsidR="0006285F" w:rsidRPr="0025710B">
        <w:rPr>
          <w:sz w:val="24"/>
          <w:szCs w:val="24"/>
        </w:rPr>
        <w:t xml:space="preserve"> dotarsi di </w:t>
      </w:r>
      <w:r w:rsidR="00714070" w:rsidRPr="0025710B">
        <w:rPr>
          <w:sz w:val="24"/>
          <w:szCs w:val="24"/>
        </w:rPr>
        <w:t>sistemi in grado di</w:t>
      </w:r>
      <w:r w:rsidR="0006285F" w:rsidRPr="0025710B">
        <w:rPr>
          <w:sz w:val="24"/>
          <w:szCs w:val="24"/>
        </w:rPr>
        <w:t xml:space="preserve"> emettere fattura nei diversi formati adottati dagli Stati membri</w:t>
      </w:r>
      <w:r w:rsidR="00B064F5" w:rsidRPr="0025710B">
        <w:rPr>
          <w:sz w:val="24"/>
          <w:szCs w:val="24"/>
        </w:rPr>
        <w:t xml:space="preserve"> con cui hanno rapporti commerciali</w:t>
      </w:r>
      <w:r w:rsidR="0006285F" w:rsidRPr="0025710B">
        <w:rPr>
          <w:sz w:val="24"/>
          <w:szCs w:val="24"/>
        </w:rPr>
        <w:t xml:space="preserve">, con evidenti costi di </w:t>
      </w:r>
      <w:r w:rsidR="00006778" w:rsidRPr="0025710B">
        <w:rPr>
          <w:sz w:val="24"/>
          <w:szCs w:val="24"/>
        </w:rPr>
        <w:t>adeguamento. Tali oneri dovrebbero essere sostenuti anche dai soggetti già dotati</w:t>
      </w:r>
      <w:r w:rsidR="00303CFD" w:rsidRPr="0025710B">
        <w:rPr>
          <w:sz w:val="24"/>
          <w:szCs w:val="24"/>
        </w:rPr>
        <w:t xml:space="preserve"> </w:t>
      </w:r>
      <w:r w:rsidR="00006778" w:rsidRPr="0025710B">
        <w:rPr>
          <w:sz w:val="24"/>
          <w:szCs w:val="24"/>
        </w:rPr>
        <w:t xml:space="preserve">- </w:t>
      </w:r>
      <w:r w:rsidR="00303CFD" w:rsidRPr="0025710B">
        <w:rPr>
          <w:sz w:val="24"/>
          <w:szCs w:val="24"/>
        </w:rPr>
        <w:t xml:space="preserve">o </w:t>
      </w:r>
      <w:r w:rsidR="00006778" w:rsidRPr="0025710B">
        <w:rPr>
          <w:sz w:val="24"/>
          <w:szCs w:val="24"/>
        </w:rPr>
        <w:t xml:space="preserve">con intenzione di dotarsi - di </w:t>
      </w:r>
      <w:r w:rsidR="00303CFD" w:rsidRPr="0025710B">
        <w:rPr>
          <w:sz w:val="24"/>
          <w:szCs w:val="24"/>
        </w:rPr>
        <w:t xml:space="preserve">uno dei formati </w:t>
      </w:r>
      <w:r w:rsidR="00006778" w:rsidRPr="0025710B">
        <w:rPr>
          <w:sz w:val="24"/>
          <w:szCs w:val="24"/>
        </w:rPr>
        <w:t xml:space="preserve">ritenuti </w:t>
      </w:r>
      <w:r w:rsidR="00006778" w:rsidRPr="0025710B">
        <w:rPr>
          <w:sz w:val="24"/>
          <w:szCs w:val="24"/>
        </w:rPr>
        <w:lastRenderedPageBreak/>
        <w:t xml:space="preserve">idonei </w:t>
      </w:r>
      <w:r w:rsidR="00303CFD" w:rsidRPr="0025710B">
        <w:rPr>
          <w:sz w:val="24"/>
          <w:szCs w:val="24"/>
        </w:rPr>
        <w:t>dal CEN e approvati dalla Commissione</w:t>
      </w:r>
      <w:r w:rsidR="00714070" w:rsidRPr="0025710B">
        <w:rPr>
          <w:sz w:val="24"/>
          <w:szCs w:val="24"/>
        </w:rPr>
        <w:t xml:space="preserve">. </w:t>
      </w:r>
      <w:r w:rsidR="00006778" w:rsidRPr="0025710B">
        <w:rPr>
          <w:sz w:val="24"/>
          <w:szCs w:val="24"/>
        </w:rPr>
        <w:t>Sul punto, occorre evidenziare che t</w:t>
      </w:r>
      <w:r w:rsidR="00714070" w:rsidRPr="0025710B">
        <w:rPr>
          <w:sz w:val="24"/>
          <w:szCs w:val="24"/>
        </w:rPr>
        <w:t xml:space="preserve">ale </w:t>
      </w:r>
      <w:r w:rsidRPr="0025710B">
        <w:rPr>
          <w:sz w:val="24"/>
          <w:szCs w:val="24"/>
        </w:rPr>
        <w:t xml:space="preserve">aggravio di oneri per le imprese va contro lo spirito della </w:t>
      </w:r>
      <w:r w:rsidR="004B3CBA">
        <w:rPr>
          <w:sz w:val="24"/>
          <w:szCs w:val="24"/>
        </w:rPr>
        <w:t xml:space="preserve">proposta di </w:t>
      </w:r>
      <w:r w:rsidRPr="0025710B">
        <w:rPr>
          <w:sz w:val="24"/>
          <w:szCs w:val="24"/>
        </w:rPr>
        <w:t xml:space="preserve">direttiva </w:t>
      </w:r>
      <w:r w:rsidR="00303CFD" w:rsidRPr="0025710B">
        <w:rPr>
          <w:sz w:val="24"/>
          <w:szCs w:val="24"/>
        </w:rPr>
        <w:t xml:space="preserve">stessa </w:t>
      </w:r>
      <w:r w:rsidRPr="0025710B">
        <w:rPr>
          <w:sz w:val="24"/>
          <w:szCs w:val="24"/>
        </w:rPr>
        <w:t>(</w:t>
      </w:r>
      <w:r w:rsidR="00303CFD" w:rsidRPr="0025710B">
        <w:rPr>
          <w:sz w:val="24"/>
          <w:szCs w:val="24"/>
        </w:rPr>
        <w:t xml:space="preserve">si veda, in proposito, </w:t>
      </w:r>
      <w:r w:rsidRPr="0025710B">
        <w:rPr>
          <w:sz w:val="24"/>
          <w:szCs w:val="24"/>
        </w:rPr>
        <w:t>il considerando 16</w:t>
      </w:r>
      <w:r w:rsidR="00B064F5" w:rsidRPr="0025710B">
        <w:rPr>
          <w:sz w:val="24"/>
          <w:szCs w:val="24"/>
        </w:rPr>
        <w:t xml:space="preserve"> del testo</w:t>
      </w:r>
      <w:r w:rsidR="00303CFD" w:rsidRPr="0025710B">
        <w:rPr>
          <w:sz w:val="24"/>
          <w:szCs w:val="24"/>
        </w:rPr>
        <w:t>)</w:t>
      </w:r>
      <w:r w:rsidR="0006285F" w:rsidRPr="0025710B">
        <w:rPr>
          <w:sz w:val="24"/>
          <w:szCs w:val="24"/>
        </w:rPr>
        <w:t>;</w:t>
      </w:r>
    </w:p>
    <w:p w:rsidR="00303CFD" w:rsidRPr="0025710B" w:rsidRDefault="0006285F" w:rsidP="00492EDE">
      <w:pPr>
        <w:pStyle w:val="Paragrafoelenco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sz w:val="24"/>
          <w:szCs w:val="24"/>
        </w:rPr>
      </w:pPr>
      <w:r w:rsidRPr="0025710B">
        <w:rPr>
          <w:sz w:val="24"/>
          <w:szCs w:val="24"/>
        </w:rPr>
        <w:t>riduce le opportunità di integrazione dei mercati dei contratti pubblici a livello europeo, costituendo una barriera alle attività transfrontaliere degli operatori economici.</w:t>
      </w:r>
    </w:p>
    <w:sectPr w:rsidR="00303CFD" w:rsidRPr="0025710B" w:rsidSect="00476B48">
      <w:headerReference w:type="default" r:id="rId9"/>
      <w:footerReference w:type="default" r:id="rId10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D72" w:rsidRDefault="00152D72" w:rsidP="00EF67C9">
      <w:pPr>
        <w:spacing w:after="0" w:line="240" w:lineRule="auto"/>
      </w:pPr>
      <w:r>
        <w:separator/>
      </w:r>
    </w:p>
  </w:endnote>
  <w:endnote w:type="continuationSeparator" w:id="0">
    <w:p w:rsidR="00152D72" w:rsidRDefault="00152D72" w:rsidP="00EF6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44737"/>
      <w:docPartObj>
        <w:docPartGallery w:val="Page Numbers (Bottom of Page)"/>
        <w:docPartUnique/>
      </w:docPartObj>
    </w:sdtPr>
    <w:sdtContent>
      <w:p w:rsidR="00EF67C9" w:rsidRDefault="00EA7CA1">
        <w:pPr>
          <w:pStyle w:val="Pidipagina"/>
          <w:jc w:val="right"/>
        </w:pPr>
        <w:fldSimple w:instr=" PAGE   \* MERGEFORMAT ">
          <w:r w:rsidR="00D6385C">
            <w:rPr>
              <w:noProof/>
            </w:rPr>
            <w:t>4</w:t>
          </w:r>
        </w:fldSimple>
      </w:p>
    </w:sdtContent>
  </w:sdt>
  <w:p w:rsidR="00EF67C9" w:rsidRDefault="00EF67C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D72" w:rsidRDefault="00152D72" w:rsidP="00EF67C9">
      <w:pPr>
        <w:spacing w:after="0" w:line="240" w:lineRule="auto"/>
      </w:pPr>
      <w:r>
        <w:separator/>
      </w:r>
    </w:p>
  </w:footnote>
  <w:footnote w:type="continuationSeparator" w:id="0">
    <w:p w:rsidR="00152D72" w:rsidRDefault="00152D72" w:rsidP="00EF6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7C9" w:rsidRDefault="00EF67C9" w:rsidP="00EF67C9">
    <w:pPr>
      <w:pStyle w:val="Intestazione"/>
      <w:jc w:val="right"/>
    </w:pPr>
    <w:r>
      <w:t>BOZZA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" o:bullet="t">
        <v:imagedata r:id="rId1" o:title="BD15277_"/>
      </v:shape>
    </w:pict>
  </w:numPicBullet>
  <w:abstractNum w:abstractNumId="0">
    <w:nsid w:val="08345F20"/>
    <w:multiLevelType w:val="hybridMultilevel"/>
    <w:tmpl w:val="C64CCF6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9E8D0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5AD38EE"/>
    <w:multiLevelType w:val="hybridMultilevel"/>
    <w:tmpl w:val="7F987934"/>
    <w:lvl w:ilvl="0" w:tplc="76E47ED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9E8D0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81A40FE"/>
    <w:multiLevelType w:val="hybridMultilevel"/>
    <w:tmpl w:val="27FC6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886178"/>
    <w:multiLevelType w:val="hybridMultilevel"/>
    <w:tmpl w:val="A20878EA"/>
    <w:lvl w:ilvl="0" w:tplc="9308344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405A66"/>
    <w:multiLevelType w:val="hybridMultilevel"/>
    <w:tmpl w:val="0FF22EC8"/>
    <w:lvl w:ilvl="0" w:tplc="4D8413D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FF3988"/>
    <w:multiLevelType w:val="hybridMultilevel"/>
    <w:tmpl w:val="96944A4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41DF"/>
    <w:rsid w:val="00006778"/>
    <w:rsid w:val="000370AE"/>
    <w:rsid w:val="0006285F"/>
    <w:rsid w:val="00086B8A"/>
    <w:rsid w:val="000971A5"/>
    <w:rsid w:val="000C0E5B"/>
    <w:rsid w:val="000E60F1"/>
    <w:rsid w:val="001042B0"/>
    <w:rsid w:val="00104793"/>
    <w:rsid w:val="00152D72"/>
    <w:rsid w:val="001A647F"/>
    <w:rsid w:val="001E66B5"/>
    <w:rsid w:val="002538D9"/>
    <w:rsid w:val="0025710B"/>
    <w:rsid w:val="00257C7B"/>
    <w:rsid w:val="0027611F"/>
    <w:rsid w:val="002941D2"/>
    <w:rsid w:val="002A712D"/>
    <w:rsid w:val="002D0F5B"/>
    <w:rsid w:val="00303CFD"/>
    <w:rsid w:val="00334CAC"/>
    <w:rsid w:val="00385F77"/>
    <w:rsid w:val="003E041C"/>
    <w:rsid w:val="003E73E7"/>
    <w:rsid w:val="00421727"/>
    <w:rsid w:val="00450A69"/>
    <w:rsid w:val="004655B3"/>
    <w:rsid w:val="00474BFB"/>
    <w:rsid w:val="00476B48"/>
    <w:rsid w:val="00492EDE"/>
    <w:rsid w:val="004B3CBA"/>
    <w:rsid w:val="004C3CA9"/>
    <w:rsid w:val="004E29B0"/>
    <w:rsid w:val="00517FDE"/>
    <w:rsid w:val="00576531"/>
    <w:rsid w:val="005A1CBE"/>
    <w:rsid w:val="005E368D"/>
    <w:rsid w:val="005F172B"/>
    <w:rsid w:val="006841DF"/>
    <w:rsid w:val="00714070"/>
    <w:rsid w:val="00774F14"/>
    <w:rsid w:val="0077506C"/>
    <w:rsid w:val="007D2BDC"/>
    <w:rsid w:val="007D6C5B"/>
    <w:rsid w:val="008E3634"/>
    <w:rsid w:val="00956D96"/>
    <w:rsid w:val="009630DD"/>
    <w:rsid w:val="009D3E8B"/>
    <w:rsid w:val="009D5560"/>
    <w:rsid w:val="00A412F6"/>
    <w:rsid w:val="00A63022"/>
    <w:rsid w:val="00A76CF1"/>
    <w:rsid w:val="00AA2EDC"/>
    <w:rsid w:val="00AE09E1"/>
    <w:rsid w:val="00AF1863"/>
    <w:rsid w:val="00B064F5"/>
    <w:rsid w:val="00B628AD"/>
    <w:rsid w:val="00C00787"/>
    <w:rsid w:val="00C04101"/>
    <w:rsid w:val="00C65A20"/>
    <w:rsid w:val="00C712BA"/>
    <w:rsid w:val="00C7430E"/>
    <w:rsid w:val="00CB4753"/>
    <w:rsid w:val="00CB4B3E"/>
    <w:rsid w:val="00CC1C17"/>
    <w:rsid w:val="00D40E2D"/>
    <w:rsid w:val="00D5676E"/>
    <w:rsid w:val="00D6385C"/>
    <w:rsid w:val="00D809EF"/>
    <w:rsid w:val="00DB6FB1"/>
    <w:rsid w:val="00DF0AA4"/>
    <w:rsid w:val="00DF0D82"/>
    <w:rsid w:val="00E52B47"/>
    <w:rsid w:val="00EA7CA1"/>
    <w:rsid w:val="00EB25B2"/>
    <w:rsid w:val="00EB4970"/>
    <w:rsid w:val="00EB70DD"/>
    <w:rsid w:val="00EF67C9"/>
    <w:rsid w:val="00FC1C61"/>
    <w:rsid w:val="00FC5E71"/>
    <w:rsid w:val="00FF1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7653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85F7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5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5F7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F67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67C9"/>
  </w:style>
  <w:style w:type="paragraph" w:styleId="Pidipagina">
    <w:name w:val="footer"/>
    <w:basedOn w:val="Normale"/>
    <w:link w:val="PidipaginaCarattere"/>
    <w:uiPriority w:val="99"/>
    <w:unhideWhenUsed/>
    <w:rsid w:val="00EF67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67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9D133-2DD7-48D8-BA2C-C675097AA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1274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LPace</dc:creator>
  <cp:lastModifiedBy>LPace</cp:lastModifiedBy>
  <cp:revision>16</cp:revision>
  <cp:lastPrinted>2013-10-11T15:27:00Z</cp:lastPrinted>
  <dcterms:created xsi:type="dcterms:W3CDTF">2013-10-11T15:06:00Z</dcterms:created>
  <dcterms:modified xsi:type="dcterms:W3CDTF">2013-10-14T09:06:00Z</dcterms:modified>
</cp:coreProperties>
</file>